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4B4F9">
      <w:pPr>
        <w:spacing w:line="620" w:lineRule="exact"/>
        <w:jc w:val="lef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附件10</w:t>
      </w:r>
    </w:p>
    <w:p w14:paraId="7DA09827">
      <w:pPr>
        <w:spacing w:line="62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</w:p>
    <w:p w14:paraId="46D45094">
      <w:pPr>
        <w:spacing w:line="620" w:lineRule="exact"/>
        <w:ind w:firstLine="883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同等学力在职硕士学位授予工作补充说明及答辩材料归档要求</w:t>
      </w:r>
    </w:p>
    <w:p w14:paraId="718DBE94">
      <w:pPr>
        <w:spacing w:line="620" w:lineRule="exact"/>
        <w:ind w:firstLine="643" w:firstLineChars="200"/>
        <w:jc w:val="center"/>
        <w:rPr>
          <w:rFonts w:ascii="仿宋_GB2312" w:hAnsi="宋体" w:eastAsia="仿宋_GB2312" w:cs="宋体"/>
          <w:b/>
          <w:bCs/>
          <w:sz w:val="32"/>
          <w:szCs w:val="32"/>
        </w:rPr>
      </w:pPr>
    </w:p>
    <w:p w14:paraId="268C79DE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一、学位论文答辩前相关工作</w:t>
      </w:r>
    </w:p>
    <w:p w14:paraId="78AF3926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（一）课程审核</w:t>
      </w:r>
    </w:p>
    <w:p w14:paraId="3EE39EE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专业核心课、专业方向课、专业课和专业外语课均需合格。未达到要求的在职硕士，不能进入答辩环节。</w:t>
      </w:r>
    </w:p>
    <w:p w14:paraId="046C63DB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在职硕士登录本人学生版研究生管理系统，在“培养计划”—“培养过程”监控模块中查看“核心方向课程考核”“毕业考核”两个模块。若两个模块均显示“合格”，即视为课程审核通过。若两个模块中任意模块显示“未合格”，即视为课程审核不通过，未能达到答辩条件，不能进入答辩环节。对考核结果有异议者，请于3月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sz w:val="32"/>
          <w:szCs w:val="32"/>
        </w:rPr>
        <w:t>日前到研究生院302办公室复核。</w:t>
      </w:r>
    </w:p>
    <w:p w14:paraId="7F0F4AB2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（二）培养环节审核</w:t>
      </w:r>
    </w:p>
    <w:p w14:paraId="333232F1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1.开题报告要求同全日制硕士研究生，见附件1。</w:t>
      </w:r>
    </w:p>
    <w:p w14:paraId="223AD98D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2.中期考核暂不要求。</w:t>
      </w:r>
    </w:p>
    <w:p w14:paraId="6F694D0F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3.教学能力暂不要求。</w:t>
      </w:r>
    </w:p>
    <w:p w14:paraId="0CE5A942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4.临床轮转：“旧规培”在职硕士按要求完成临床轮转后，须在我院“研究生教育管理系统”录入轮科计划、临床轮转记录和出科考核等。</w:t>
      </w:r>
    </w:p>
    <w:p w14:paraId="1485B4BF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“旧规培”是指在《国家卫生计生委办公厅关于印发住院医师规范化培训基地认定标准（试行）和住院医师规范化培训内容与标准（试行）》（国卫办科教发〔2014〕48号）下发前完成住院医师规范化培训。</w:t>
      </w:r>
    </w:p>
    <w:p w14:paraId="28694823">
      <w:pPr>
        <w:spacing w:line="620" w:lineRule="exact"/>
        <w:ind w:firstLine="643" w:firstLineChars="200"/>
        <w:rPr>
          <w:rFonts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（三）临床医学、口腔医学硕士专业学位研究生（含在职硕士）《医师资格证书》《住院医师规范化培训合格证书》录入及审核工作</w:t>
      </w:r>
    </w:p>
    <w:p w14:paraId="43B4C106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同全日制硕士研究生，见附件1。</w:t>
      </w:r>
    </w:p>
    <w:p w14:paraId="0F67DA24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二、学位论文答辩相关工作</w:t>
      </w:r>
    </w:p>
    <w:p w14:paraId="4CBA6FB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同全日制研究生，见附件1。</w:t>
      </w:r>
    </w:p>
    <w:p w14:paraId="14439C35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三、学位授予审议相关工作</w:t>
      </w:r>
    </w:p>
    <w:p w14:paraId="2AF6C472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同全日制研究生，见附件1。</w:t>
      </w:r>
    </w:p>
    <w:p w14:paraId="2E47B830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四、学位申请表提交</w:t>
      </w:r>
    </w:p>
    <w:p w14:paraId="43C1C2B7">
      <w:pPr>
        <w:numPr>
          <w:ilvl w:val="255"/>
          <w:numId w:val="0"/>
        </w:num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学位申请表审核、打印、收集、归档工作参照全日制研究生学位申请表的填写要求，在职硕士仅需提交学位申请表一式两份（不贴相片）。</w:t>
      </w:r>
    </w:p>
    <w:p w14:paraId="2A122026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从系统打印合格的学位申请表后，</w:t>
      </w:r>
      <w:r>
        <w:rPr>
          <w:rFonts w:ascii="Times New Roman" w:hAnsi="Times New Roman" w:eastAsia="仿宋_GB2312" w:cs="Times New Roman"/>
          <w:sz w:val="32"/>
          <w:szCs w:val="32"/>
        </w:rPr>
        <w:t>在“二级学院学位评定委员会决议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及投票结果</w:t>
      </w:r>
      <w:r>
        <w:rPr>
          <w:rFonts w:ascii="Times New Roman" w:hAnsi="Times New Roman" w:eastAsia="仿宋_GB2312" w:cs="Times New Roman"/>
          <w:sz w:val="32"/>
          <w:szCs w:val="32"/>
        </w:rPr>
        <w:t>”栏的“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主席签章</w:t>
      </w:r>
      <w:r>
        <w:rPr>
          <w:rFonts w:ascii="Times New Roman" w:hAnsi="Times New Roman" w:eastAsia="仿宋_GB2312" w:cs="Times New Roman"/>
          <w:sz w:val="32"/>
          <w:szCs w:val="32"/>
        </w:rPr>
        <w:t>和公章”处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签字和</w:t>
      </w:r>
      <w:r>
        <w:rPr>
          <w:rFonts w:ascii="Times New Roman" w:hAnsi="Times New Roman" w:eastAsia="仿宋_GB2312" w:cs="Times New Roman"/>
          <w:sz w:val="32"/>
          <w:szCs w:val="32"/>
        </w:rPr>
        <w:t>盖章，并在学校学位评定委员会会议召开后10天内汇总收齐，由各培养单位（第一临床医学院的内科学、外科学以三级学科分类，其他以二级学科分类）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按学号小号在上、大号在下的顺序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排列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，同时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附上</w:t>
      </w:r>
      <w:r>
        <w:rPr>
          <w:rFonts w:hint="eastAsia" w:ascii="仿宋" w:hAnsi="仿宋" w:eastAsia="仿宋" w:cs="宋体"/>
          <w:sz w:val="32"/>
          <w:szCs w:val="32"/>
        </w:rPr>
        <w:t>合格学位申请表的在职研究生名单（名单加盖二级学院公章）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sz w:val="32"/>
          <w:szCs w:val="32"/>
        </w:rPr>
        <w:t>统一交至研究生院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三楼</w:t>
      </w:r>
      <w:r>
        <w:rPr>
          <w:rFonts w:hint="eastAsia" w:ascii="仿宋" w:hAnsi="仿宋" w:eastAsia="仿宋" w:cs="宋体"/>
          <w:sz w:val="32"/>
          <w:szCs w:val="32"/>
        </w:rPr>
        <w:t>302办公室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sz w:val="32"/>
          <w:szCs w:val="32"/>
        </w:rPr>
        <w:t>（负责部门及联系电话：研究生院在职硕士管理办公室，杨老师，刘老师，5358336）。</w:t>
      </w:r>
    </w:p>
    <w:p w14:paraId="3C8BEAC5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五、离校相关工作</w:t>
      </w:r>
    </w:p>
    <w:p w14:paraId="5BFF6225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（一）延期答辩手续办理流程</w:t>
      </w:r>
    </w:p>
    <w:p w14:paraId="132CBAD7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1.有以下情况之一的研究生不能参加学位论文答辩：</w:t>
      </w:r>
    </w:p>
    <w:p w14:paraId="78627A46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（1）未完成培养方案所规定的课程学习和学分；</w:t>
      </w:r>
    </w:p>
    <w:p w14:paraId="2C180BB4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（2）未完成培养方案所规定的各项考核，考核成绩不合格；</w:t>
      </w:r>
    </w:p>
    <w:p w14:paraId="35EDC41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（3）学位论文预答辩未通过；</w:t>
      </w:r>
    </w:p>
    <w:p w14:paraId="3B8C307C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（4）学位论文预评阅中，被认定为“不符合当年毕业及学位授予条件的学位论文”；</w:t>
      </w:r>
    </w:p>
    <w:p w14:paraId="4C8E39A5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（5）学位论文评阅中，有1名论文评阅专家不同意答辩且</w:t>
      </w:r>
      <w:r>
        <w:rPr>
          <w:rFonts w:hint="eastAsia" w:ascii="仿宋" w:hAnsi="仿宋" w:eastAsia="仿宋" w:cs="Times New Roman"/>
          <w:sz w:val="32"/>
          <w:szCs w:val="32"/>
        </w:rPr>
        <w:t>征求答辩委员会委员意见，</w:t>
      </w:r>
      <w:r>
        <w:rPr>
          <w:rFonts w:hint="eastAsia" w:ascii="仿宋" w:hAnsi="仿宋" w:eastAsia="仿宋" w:cs="宋体"/>
          <w:sz w:val="32"/>
          <w:szCs w:val="32"/>
        </w:rPr>
        <w:t>未达到三分之二以上委员同意答辩，或有2名论文评阅专家不同意答辩；</w:t>
      </w:r>
    </w:p>
    <w:p w14:paraId="03DF13E4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（6）在学位论文中存在重大科研失信行为，且被查实为“存在严重问题论文”；</w:t>
      </w:r>
    </w:p>
    <w:p w14:paraId="1AF9EB6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（7）因其它原因不能参加答辩。</w:t>
      </w:r>
    </w:p>
    <w:p w14:paraId="35910FB0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2.不能参加答辩、学位论文答辩未通过、因其它原因申请延期答辩的在职硕士，须于5月3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sz w:val="32"/>
          <w:szCs w:val="32"/>
        </w:rPr>
        <w:t>日前在“2024级学位班”QQ群群文件中下载、填写《广西医科大学同等学力在职硕士研究生延期答辩审批表》，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提</w:t>
      </w:r>
      <w:r>
        <w:rPr>
          <w:rFonts w:hint="eastAsia" w:ascii="仿宋" w:hAnsi="仿宋" w:eastAsia="仿宋" w:cs="宋体"/>
          <w:sz w:val="32"/>
          <w:szCs w:val="32"/>
        </w:rPr>
        <w:t>交至研究生院302办公室办理延期答辩手续，延期至下一年答辩。</w:t>
      </w:r>
      <w:bookmarkStart w:id="0" w:name="_GoBack"/>
      <w:bookmarkEnd w:id="0"/>
    </w:p>
    <w:p w14:paraId="7DD97D42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（二）《广西医科大学研究生学位论文研究记录册》</w:t>
      </w:r>
    </w:p>
    <w:p w14:paraId="208B1525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学术学位在职硕士同全日制研究生，见附件1。</w:t>
      </w:r>
    </w:p>
    <w:p w14:paraId="5AD8582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专业学位在职硕士暂不要求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76F951B0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（三）正式学位论文电子版上传及纸质版提交</w:t>
      </w:r>
    </w:p>
    <w:p w14:paraId="54A1AA7D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同全日制研究生（</w:t>
      </w:r>
      <w:r>
        <w:rPr>
          <w:rFonts w:hint="eastAsia" w:ascii="仿宋" w:hAnsi="仿宋" w:eastAsia="仿宋" w:cs="Times New Roman"/>
          <w:sz w:val="32"/>
          <w:szCs w:val="32"/>
        </w:rPr>
        <w:t>在职硕士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只</w:t>
      </w:r>
      <w:r>
        <w:rPr>
          <w:rFonts w:hint="eastAsia" w:ascii="仿宋" w:hAnsi="仿宋" w:eastAsia="仿宋" w:cs="Times New Roman"/>
          <w:sz w:val="32"/>
          <w:szCs w:val="32"/>
        </w:rPr>
        <w:t>需提交1本正式学位论文纸质版</w:t>
      </w:r>
      <w:r>
        <w:rPr>
          <w:rFonts w:hint="eastAsia" w:ascii="仿宋" w:hAnsi="仿宋" w:eastAsia="仿宋" w:cs="宋体"/>
          <w:sz w:val="32"/>
          <w:szCs w:val="32"/>
        </w:rPr>
        <w:t>），见附件1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5FEFABB9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（四）研究生教育评价现场调查</w:t>
      </w:r>
    </w:p>
    <w:p w14:paraId="6BD28150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56C50713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（五）离校手续办理</w:t>
      </w:r>
    </w:p>
    <w:p w14:paraId="3916EEEE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经导师、二级学院、财务处审核通过，完成相关手续后方可离校（具体工作要求另行通知）。</w:t>
      </w:r>
    </w:p>
    <w:p w14:paraId="66CD1E1B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ascii="楷体_GB2312" w:hAnsi="宋体" w:eastAsia="楷体_GB2312" w:cs="宋体"/>
          <w:b/>
          <w:bCs/>
          <w:sz w:val="32"/>
          <w:szCs w:val="32"/>
        </w:rPr>
        <w:t>（</w:t>
      </w:r>
      <w:r>
        <w:rPr>
          <w:rFonts w:hint="eastAsia" w:ascii="楷体_GB2312" w:hAnsi="宋体" w:eastAsia="楷体_GB2312" w:cs="宋体"/>
          <w:b/>
          <w:bCs/>
          <w:sz w:val="32"/>
          <w:szCs w:val="32"/>
        </w:rPr>
        <w:t>六</w:t>
      </w:r>
      <w:r>
        <w:rPr>
          <w:rFonts w:ascii="楷体_GB2312" w:hAnsi="宋体" w:eastAsia="楷体_GB2312" w:cs="宋体"/>
          <w:b/>
          <w:bCs/>
          <w:sz w:val="32"/>
          <w:szCs w:val="32"/>
        </w:rPr>
        <w:t>）答辩材料归档</w:t>
      </w:r>
    </w:p>
    <w:p w14:paraId="018E6C9E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具体要求详见《在职硕士论文答辩材料归档目录》（附件）。</w:t>
      </w:r>
    </w:p>
    <w:p w14:paraId="2DB47670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</w:p>
    <w:p w14:paraId="04670ECD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附件：10-1.在职硕士论文答辩材料归档目录</w:t>
      </w:r>
    </w:p>
    <w:p w14:paraId="6071E95C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407A4BC4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274A5290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7C840E8A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0D29182C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56F2A5AA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32593BE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290BB603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4BEC4EEB">
      <w:pPr>
        <w:spacing w:line="560" w:lineRule="exac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附件10-1</w:t>
      </w:r>
    </w:p>
    <w:p w14:paraId="733C0B35">
      <w:pPr>
        <w:spacing w:line="560" w:lineRule="exact"/>
        <w:ind w:firstLine="640"/>
        <w:rPr>
          <w:rFonts w:ascii="黑体" w:hAnsi="黑体" w:eastAsia="黑体" w:cs="宋体"/>
          <w:b/>
          <w:bCs/>
          <w:sz w:val="32"/>
          <w:szCs w:val="32"/>
        </w:rPr>
      </w:pPr>
    </w:p>
    <w:p w14:paraId="722BA77E">
      <w:pPr>
        <w:spacing w:line="560" w:lineRule="exact"/>
        <w:ind w:firstLine="883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在职硕士论文答辩材料归档目录</w:t>
      </w:r>
    </w:p>
    <w:p w14:paraId="17BADB4D">
      <w:pPr>
        <w:spacing w:line="560" w:lineRule="exact"/>
        <w:ind w:firstLine="723"/>
        <w:jc w:val="center"/>
        <w:rPr>
          <w:rFonts w:ascii="方正小标宋简体" w:hAnsi="宋体" w:eastAsia="方正小标宋简体" w:cs="宋体"/>
          <w:bCs/>
          <w:sz w:val="36"/>
          <w:szCs w:val="32"/>
        </w:rPr>
      </w:pPr>
    </w:p>
    <w:p w14:paraId="614E43BA">
      <w:pPr>
        <w:ind w:firstLine="482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学号：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姓名：</w:t>
      </w:r>
    </w:p>
    <w:tbl>
      <w:tblPr>
        <w:tblStyle w:val="6"/>
        <w:tblW w:w="1041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1"/>
        <w:gridCol w:w="3011"/>
        <w:gridCol w:w="1685"/>
        <w:gridCol w:w="2820"/>
      </w:tblGrid>
      <w:tr w14:paraId="6C3088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029" w:hRule="atLeast"/>
          <w:jc w:val="center"/>
        </w:trPr>
        <w:tc>
          <w:tcPr>
            <w:tcW w:w="2901" w:type="dxa"/>
            <w:vAlign w:val="center"/>
          </w:tcPr>
          <w:p w14:paraId="5A2363CD">
            <w:pPr>
              <w:spacing w:line="280" w:lineRule="exact"/>
              <w:ind w:firstLine="843" w:firstLineChars="4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材料名称</w:t>
            </w:r>
          </w:p>
        </w:tc>
        <w:tc>
          <w:tcPr>
            <w:tcW w:w="3011" w:type="dxa"/>
            <w:vAlign w:val="center"/>
          </w:tcPr>
          <w:p w14:paraId="26340250">
            <w:pPr>
              <w:spacing w:line="280" w:lineRule="exac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研究生教育管理系统打印路径</w:t>
            </w:r>
          </w:p>
        </w:tc>
        <w:tc>
          <w:tcPr>
            <w:tcW w:w="1685" w:type="dxa"/>
            <w:vAlign w:val="center"/>
          </w:tcPr>
          <w:p w14:paraId="361016F5">
            <w:pPr>
              <w:spacing w:line="280" w:lineRule="exact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审核结果（须逐项核对打√）</w:t>
            </w:r>
          </w:p>
        </w:tc>
        <w:tc>
          <w:tcPr>
            <w:tcW w:w="2820" w:type="dxa"/>
            <w:vAlign w:val="center"/>
          </w:tcPr>
          <w:p w14:paraId="33D26407">
            <w:pPr>
              <w:spacing w:line="280" w:lineRule="exact"/>
              <w:ind w:firstLine="1054" w:firstLineChars="5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 w14:paraId="4AE463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901" w:type="dxa"/>
            <w:vAlign w:val="center"/>
          </w:tcPr>
          <w:p w14:paraId="6EE7EDE9">
            <w:pPr>
              <w:spacing w:line="40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论文1本</w:t>
            </w:r>
          </w:p>
        </w:tc>
        <w:tc>
          <w:tcPr>
            <w:tcW w:w="3011" w:type="dxa"/>
            <w:vAlign w:val="center"/>
          </w:tcPr>
          <w:p w14:paraId="125F5BD0">
            <w:pPr>
              <w:spacing w:line="40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/</w:t>
            </w:r>
          </w:p>
        </w:tc>
        <w:tc>
          <w:tcPr>
            <w:tcW w:w="1685" w:type="dxa"/>
            <w:vAlign w:val="center"/>
          </w:tcPr>
          <w:p w14:paraId="72949ABF">
            <w:pPr>
              <w:spacing w:line="40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820" w:type="dxa"/>
            <w:vAlign w:val="center"/>
          </w:tcPr>
          <w:p w14:paraId="5EF7D2C0">
            <w:pPr>
              <w:spacing w:line="40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学生提供（学位论文版权使用授权书需导师签字）</w:t>
            </w:r>
          </w:p>
        </w:tc>
      </w:tr>
      <w:tr w14:paraId="6EEDD2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2901" w:type="dxa"/>
            <w:vAlign w:val="center"/>
          </w:tcPr>
          <w:p w14:paraId="512D0EE9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预评阅意见表/同行评阅意见表（3份,一式一份，共3份）</w:t>
            </w:r>
          </w:p>
        </w:tc>
        <w:tc>
          <w:tcPr>
            <w:tcW w:w="3011" w:type="dxa"/>
            <w:vAlign w:val="center"/>
          </w:tcPr>
          <w:p w14:paraId="631EC07C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培养管理—毕业论文预评阅—预评阅—选定专家单击鼠标右键进入页面打印</w:t>
            </w:r>
          </w:p>
        </w:tc>
        <w:tc>
          <w:tcPr>
            <w:tcW w:w="1685" w:type="dxa"/>
            <w:vAlign w:val="center"/>
          </w:tcPr>
          <w:p w14:paraId="055F4118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 w14:paraId="4323419B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参加校外预评阅双盲的论文由研究生院放入，无需打印；参加校内预评阅双盲的论文，由科室秘书从“研究生教育管理系统”打印</w:t>
            </w:r>
          </w:p>
        </w:tc>
      </w:tr>
      <w:tr w14:paraId="6F74CC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2901" w:type="dxa"/>
            <w:vAlign w:val="center"/>
          </w:tcPr>
          <w:p w14:paraId="0A31521E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论文答辩申请表</w:t>
            </w:r>
          </w:p>
        </w:tc>
        <w:tc>
          <w:tcPr>
            <w:tcW w:w="3011" w:type="dxa"/>
            <w:vAlign w:val="center"/>
          </w:tcPr>
          <w:p w14:paraId="1D449B01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培养管理—毕业论文答辩—打印</w:t>
            </w:r>
          </w:p>
        </w:tc>
        <w:tc>
          <w:tcPr>
            <w:tcW w:w="1685" w:type="dxa"/>
            <w:vAlign w:val="center"/>
          </w:tcPr>
          <w:p w14:paraId="27C1F206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 w14:paraId="05FEFAD6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所有的签章和日期均不可缺，科室秘书在系统打印</w:t>
            </w:r>
          </w:p>
        </w:tc>
      </w:tr>
      <w:tr w14:paraId="729E95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901" w:type="dxa"/>
            <w:vAlign w:val="center"/>
          </w:tcPr>
          <w:p w14:paraId="38C280A0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论文评阅意见表（3份,一式两份，共6份）</w:t>
            </w:r>
          </w:p>
        </w:tc>
        <w:tc>
          <w:tcPr>
            <w:tcW w:w="3011" w:type="dxa"/>
            <w:vAlign w:val="center"/>
          </w:tcPr>
          <w:p w14:paraId="446CBE63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培养管理—毕业论文答辩—评阅/答辩委员—选定评阅专家单击鼠标右键进入页面打印</w:t>
            </w:r>
          </w:p>
        </w:tc>
        <w:tc>
          <w:tcPr>
            <w:tcW w:w="1685" w:type="dxa"/>
            <w:vAlign w:val="center"/>
          </w:tcPr>
          <w:p w14:paraId="23BA8B92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 w14:paraId="126BDC3F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科室秘书从系统打印，一式两份，盖培养单位公章</w:t>
            </w:r>
          </w:p>
        </w:tc>
      </w:tr>
      <w:tr w14:paraId="134FD9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901" w:type="dxa"/>
            <w:vAlign w:val="center"/>
          </w:tcPr>
          <w:p w14:paraId="0A0F6B97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学位论文答辩委员会决议</w:t>
            </w:r>
          </w:p>
        </w:tc>
        <w:tc>
          <w:tcPr>
            <w:tcW w:w="3011" w:type="dxa"/>
            <w:vAlign w:val="center"/>
          </w:tcPr>
          <w:p w14:paraId="23DF56D0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培养管理—毕业论文答辩—打印</w:t>
            </w:r>
          </w:p>
        </w:tc>
        <w:tc>
          <w:tcPr>
            <w:tcW w:w="1685" w:type="dxa"/>
            <w:vAlign w:val="center"/>
          </w:tcPr>
          <w:p w14:paraId="4BBBC768"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 w14:paraId="31671621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科室秘书从系统打印，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答辩主席、委员需本人手写签名</w:t>
            </w:r>
          </w:p>
        </w:tc>
      </w:tr>
    </w:tbl>
    <w:p w14:paraId="7B5EA87F"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说明：本表由教学秘书在“审核结果”栏用黑色水性笔逐项核对打√，如有材料缺失，需手写说明原因（学生提供的材料由教秘核对整理后放入）。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C6DD90-2AE1-434F-9370-4C44088CE6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2EE0221-D5FA-4005-ADCD-AF33803543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AC9FBB8-F1D1-4E14-B7F3-F5EF0D96195C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B99A3C45-FAC6-412F-A871-2CD2507826A9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EEEF5976-FD18-4E1A-B520-6E381329FF3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82741B2-226B-4D08-AB89-2C1C63992C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Formatting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lmZWNhMzRkZTc2MmNmMTBmYTkyMWRiYTAwOWYzMTEifQ=="/>
  </w:docVars>
  <w:rsids>
    <w:rsidRoot w:val="00D159CC"/>
    <w:rsid w:val="000111E6"/>
    <w:rsid w:val="0003756D"/>
    <w:rsid w:val="0006540B"/>
    <w:rsid w:val="00075E99"/>
    <w:rsid w:val="0009229C"/>
    <w:rsid w:val="0009497A"/>
    <w:rsid w:val="00094E23"/>
    <w:rsid w:val="000A695B"/>
    <w:rsid w:val="000D5045"/>
    <w:rsid w:val="000E7305"/>
    <w:rsid w:val="00100933"/>
    <w:rsid w:val="001011FE"/>
    <w:rsid w:val="00104FF4"/>
    <w:rsid w:val="00111F6E"/>
    <w:rsid w:val="00121223"/>
    <w:rsid w:val="00122418"/>
    <w:rsid w:val="00130326"/>
    <w:rsid w:val="0013151C"/>
    <w:rsid w:val="00184C67"/>
    <w:rsid w:val="001F1E6E"/>
    <w:rsid w:val="00247A1A"/>
    <w:rsid w:val="0025347C"/>
    <w:rsid w:val="00260165"/>
    <w:rsid w:val="0027386B"/>
    <w:rsid w:val="002C35D1"/>
    <w:rsid w:val="002D1681"/>
    <w:rsid w:val="003140C2"/>
    <w:rsid w:val="0033761E"/>
    <w:rsid w:val="00337A1D"/>
    <w:rsid w:val="00350847"/>
    <w:rsid w:val="00376422"/>
    <w:rsid w:val="0039517D"/>
    <w:rsid w:val="003A3DD8"/>
    <w:rsid w:val="003B2C5E"/>
    <w:rsid w:val="003C5C08"/>
    <w:rsid w:val="003E5CB1"/>
    <w:rsid w:val="003E640D"/>
    <w:rsid w:val="003F4DC6"/>
    <w:rsid w:val="00435006"/>
    <w:rsid w:val="00437445"/>
    <w:rsid w:val="004926F7"/>
    <w:rsid w:val="004C7FD7"/>
    <w:rsid w:val="00533A3E"/>
    <w:rsid w:val="00584AD6"/>
    <w:rsid w:val="005A4535"/>
    <w:rsid w:val="005B4F98"/>
    <w:rsid w:val="005C46EC"/>
    <w:rsid w:val="005F16B0"/>
    <w:rsid w:val="006171DA"/>
    <w:rsid w:val="0062003A"/>
    <w:rsid w:val="00623E07"/>
    <w:rsid w:val="00630BA9"/>
    <w:rsid w:val="00635518"/>
    <w:rsid w:val="00652E6A"/>
    <w:rsid w:val="0066086E"/>
    <w:rsid w:val="006619E0"/>
    <w:rsid w:val="006B137E"/>
    <w:rsid w:val="006D5E2B"/>
    <w:rsid w:val="006D7BC6"/>
    <w:rsid w:val="00740ADF"/>
    <w:rsid w:val="007421B1"/>
    <w:rsid w:val="0077575B"/>
    <w:rsid w:val="00783B29"/>
    <w:rsid w:val="00783C9A"/>
    <w:rsid w:val="007C107B"/>
    <w:rsid w:val="007D1945"/>
    <w:rsid w:val="0081138A"/>
    <w:rsid w:val="00846DC8"/>
    <w:rsid w:val="00857FDC"/>
    <w:rsid w:val="00862B48"/>
    <w:rsid w:val="008643DD"/>
    <w:rsid w:val="00892B5D"/>
    <w:rsid w:val="008B180A"/>
    <w:rsid w:val="008D28D9"/>
    <w:rsid w:val="008F5ED6"/>
    <w:rsid w:val="009331BE"/>
    <w:rsid w:val="00940018"/>
    <w:rsid w:val="009531D2"/>
    <w:rsid w:val="009D3C3E"/>
    <w:rsid w:val="00A114BC"/>
    <w:rsid w:val="00A26387"/>
    <w:rsid w:val="00A324C0"/>
    <w:rsid w:val="00A742AB"/>
    <w:rsid w:val="00A8047F"/>
    <w:rsid w:val="00A9287E"/>
    <w:rsid w:val="00AC1C98"/>
    <w:rsid w:val="00AC7A2E"/>
    <w:rsid w:val="00AD6FFE"/>
    <w:rsid w:val="00B479A5"/>
    <w:rsid w:val="00B60BD6"/>
    <w:rsid w:val="00B82DC5"/>
    <w:rsid w:val="00B84347"/>
    <w:rsid w:val="00BA2D66"/>
    <w:rsid w:val="00BA4E3D"/>
    <w:rsid w:val="00BB00C0"/>
    <w:rsid w:val="00BE1F4B"/>
    <w:rsid w:val="00C26371"/>
    <w:rsid w:val="00C33C30"/>
    <w:rsid w:val="00C60BDA"/>
    <w:rsid w:val="00C61803"/>
    <w:rsid w:val="00C61ED9"/>
    <w:rsid w:val="00C97633"/>
    <w:rsid w:val="00CA50A2"/>
    <w:rsid w:val="00CA761C"/>
    <w:rsid w:val="00CB3BF4"/>
    <w:rsid w:val="00CB618D"/>
    <w:rsid w:val="00D159CC"/>
    <w:rsid w:val="00D41F66"/>
    <w:rsid w:val="00DC26B9"/>
    <w:rsid w:val="00DE71F6"/>
    <w:rsid w:val="00DF5FB6"/>
    <w:rsid w:val="00E2044E"/>
    <w:rsid w:val="00E26600"/>
    <w:rsid w:val="00E30AC6"/>
    <w:rsid w:val="00E519E3"/>
    <w:rsid w:val="00E5208B"/>
    <w:rsid w:val="00E62C43"/>
    <w:rsid w:val="00E77A5A"/>
    <w:rsid w:val="00E95E78"/>
    <w:rsid w:val="00EA61C0"/>
    <w:rsid w:val="00EE0640"/>
    <w:rsid w:val="00EF7618"/>
    <w:rsid w:val="00F16B63"/>
    <w:rsid w:val="00F621D2"/>
    <w:rsid w:val="00F71294"/>
    <w:rsid w:val="00F9147B"/>
    <w:rsid w:val="00FA4EE4"/>
    <w:rsid w:val="00FD392A"/>
    <w:rsid w:val="00FE0862"/>
    <w:rsid w:val="00FE18D9"/>
    <w:rsid w:val="065243EA"/>
    <w:rsid w:val="0D452207"/>
    <w:rsid w:val="0E0D7668"/>
    <w:rsid w:val="115979CD"/>
    <w:rsid w:val="119C2FE1"/>
    <w:rsid w:val="185160EF"/>
    <w:rsid w:val="1A5C1A9C"/>
    <w:rsid w:val="25F056C5"/>
    <w:rsid w:val="27EE3DFB"/>
    <w:rsid w:val="32820FEA"/>
    <w:rsid w:val="352F17D1"/>
    <w:rsid w:val="35301D0A"/>
    <w:rsid w:val="389104C8"/>
    <w:rsid w:val="44551E7E"/>
    <w:rsid w:val="45D3244B"/>
    <w:rsid w:val="4A51180D"/>
    <w:rsid w:val="4E5D6DDE"/>
    <w:rsid w:val="513E0EB3"/>
    <w:rsid w:val="543B593B"/>
    <w:rsid w:val="54E04FCC"/>
    <w:rsid w:val="594B0611"/>
    <w:rsid w:val="598002BB"/>
    <w:rsid w:val="59FF6D5E"/>
    <w:rsid w:val="66B912B0"/>
    <w:rsid w:val="71900DFF"/>
    <w:rsid w:val="7261340B"/>
    <w:rsid w:val="771B1DDA"/>
    <w:rsid w:val="79326BE4"/>
    <w:rsid w:val="7FB972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style01"/>
    <w:autoRedefine/>
    <w:qFormat/>
    <w:uiPriority w:val="0"/>
    <w:rPr>
      <w:rFonts w:hint="eastAsia" w:ascii="仿宋" w:hAnsi="仿宋" w:eastAsia="仿宋"/>
      <w:color w:val="000000"/>
      <w:sz w:val="32"/>
      <w:szCs w:val="32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1930</Words>
  <Characters>1966</Characters>
  <Lines>13</Lines>
  <Paragraphs>3</Paragraphs>
  <TotalTime>3</TotalTime>
  <ScaleCrop>false</ScaleCrop>
  <LinksUpToDate>false</LinksUpToDate>
  <CharactersWithSpaces>1985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2023-02-22T00:22:00Z</dcterms:created>
  <dc:creator>PC</dc:creator>
  <cp:lastModifiedBy>PC</cp:lastModifiedBy>
  <dcterms:modified xsi:type="dcterms:W3CDTF">2025-01-13T08:32:24Z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61CBF6BC367845D59A1983B74934BDC0_13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