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03C18">
      <w:pPr>
        <w:widowControl/>
        <w:spacing w:line="480" w:lineRule="exact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28"/>
          <w:szCs w:val="28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0"/>
          <w:sz w:val="28"/>
          <w:szCs w:val="28"/>
        </w:rPr>
        <w:t xml:space="preserve"> 2</w:t>
      </w:r>
    </w:p>
    <w:p w14:paraId="7F009F0D">
      <w:pPr>
        <w:spacing w:line="480" w:lineRule="exact"/>
      </w:pPr>
    </w:p>
    <w:p w14:paraId="306124C6">
      <w:pPr>
        <w:widowControl/>
        <w:spacing w:line="480" w:lineRule="exact"/>
        <w:jc w:val="center"/>
        <w:rPr>
          <w:rFonts w:ascii="黑体" w:hAnsi="宋体" w:eastAsia="黑体" w:cs="黑体"/>
          <w:color w:val="000000"/>
          <w:kern w:val="0"/>
          <w:sz w:val="44"/>
          <w:szCs w:val="44"/>
        </w:rPr>
      </w:pPr>
      <w:r>
        <w:rPr>
          <w:rFonts w:hint="eastAsia" w:ascii="黑体" w:hAnsi="宋体" w:eastAsia="黑体" w:cs="黑体"/>
          <w:color w:val="000000"/>
          <w:kern w:val="0"/>
          <w:sz w:val="44"/>
          <w:szCs w:val="44"/>
        </w:rPr>
        <w:t>学位论文相似度及</w:t>
      </w:r>
      <w:r>
        <w:rPr>
          <w:rFonts w:ascii="Times New Roman" w:hAnsi="Times New Roman" w:eastAsia="黑体"/>
          <w:color w:val="000000"/>
          <w:kern w:val="0"/>
          <w:sz w:val="44"/>
          <w:szCs w:val="44"/>
        </w:rPr>
        <w:t>AIGC</w:t>
      </w:r>
      <w:r>
        <w:rPr>
          <w:rFonts w:hint="eastAsia" w:ascii="黑体" w:hAnsi="宋体" w:eastAsia="黑体" w:cs="黑体"/>
          <w:color w:val="000000"/>
          <w:kern w:val="0"/>
          <w:sz w:val="44"/>
          <w:szCs w:val="44"/>
        </w:rPr>
        <w:t>检测</w:t>
      </w:r>
    </w:p>
    <w:p w14:paraId="56AEAEFA">
      <w:pPr>
        <w:widowControl/>
        <w:spacing w:line="480" w:lineRule="exact"/>
        <w:jc w:val="center"/>
        <w:rPr>
          <w:sz w:val="44"/>
          <w:szCs w:val="44"/>
        </w:rPr>
      </w:pPr>
      <w:r>
        <w:rPr>
          <w:rFonts w:hint="eastAsia" w:ascii="黑体" w:hAnsi="宋体" w:eastAsia="黑体" w:cs="黑体"/>
          <w:color w:val="000000"/>
          <w:kern w:val="0"/>
          <w:sz w:val="44"/>
          <w:szCs w:val="44"/>
        </w:rPr>
        <w:t>流程及实操图解</w:t>
      </w:r>
    </w:p>
    <w:p w14:paraId="2F281CF9">
      <w:pPr>
        <w:widowControl/>
        <w:spacing w:line="480" w:lineRule="exact"/>
        <w:jc w:val="left"/>
        <w:rPr>
          <w:rFonts w:ascii="黑体" w:hAnsi="宋体" w:eastAsia="黑体" w:cs="黑体"/>
          <w:color w:val="000000"/>
          <w:kern w:val="0"/>
          <w:sz w:val="31"/>
          <w:szCs w:val="31"/>
        </w:rPr>
      </w:pPr>
    </w:p>
    <w:p w14:paraId="020CE2BE">
      <w:pPr>
        <w:widowControl/>
        <w:spacing w:line="480" w:lineRule="exact"/>
        <w:ind w:firstLine="560" w:firstLineChars="200"/>
        <w:jc w:val="left"/>
        <w:rPr>
          <w:sz w:val="28"/>
          <w:szCs w:val="28"/>
        </w:rPr>
      </w:pPr>
      <w:r>
        <w:rPr>
          <w:rFonts w:hint="eastAsia" w:ascii="黑体" w:hAnsi="宋体" w:eastAsia="黑体" w:cs="黑体"/>
          <w:color w:val="000000"/>
          <w:kern w:val="0"/>
          <w:sz w:val="28"/>
          <w:szCs w:val="28"/>
        </w:rPr>
        <w:t>一、学位论文相似度及</w:t>
      </w:r>
      <w:r>
        <w:rPr>
          <w:rFonts w:ascii="黑体" w:hAnsi="宋体" w:eastAsia="黑体" w:cs="黑体"/>
          <w:color w:val="000000"/>
          <w:kern w:val="0"/>
          <w:sz w:val="28"/>
          <w:szCs w:val="28"/>
        </w:rPr>
        <w:t>AIGC</w:t>
      </w:r>
      <w:r>
        <w:rPr>
          <w:rFonts w:hint="eastAsia" w:ascii="黑体" w:hAnsi="宋体" w:eastAsia="黑体" w:cs="黑体"/>
          <w:color w:val="000000"/>
          <w:kern w:val="0"/>
          <w:sz w:val="28"/>
          <w:szCs w:val="28"/>
        </w:rPr>
        <w:t>检测流程</w:t>
      </w:r>
      <w:r>
        <w:rPr>
          <w:rFonts w:ascii="黑体" w:hAnsi="宋体" w:eastAsia="黑体" w:cs="黑体"/>
          <w:color w:val="000000"/>
          <w:kern w:val="0"/>
          <w:sz w:val="28"/>
          <w:szCs w:val="28"/>
        </w:rPr>
        <w:t xml:space="preserve"> </w:t>
      </w:r>
    </w:p>
    <w:p w14:paraId="49BB95CB">
      <w:pPr>
        <w:widowControl/>
        <w:spacing w:line="480" w:lineRule="exact"/>
        <w:ind w:firstLine="562" w:firstLineChars="200"/>
        <w:jc w:val="left"/>
        <w:rPr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各层次、各类型研究生检测操作流程一致，请按以下流程进行操作【注意：必须使用</w:t>
      </w:r>
      <w:r>
        <w:rPr>
          <w:rFonts w:ascii="Times New Roman" w:hAnsi="Times New Roman" w:eastAsia="仿宋"/>
          <w:b/>
          <w:bCs/>
          <w:color w:val="000000"/>
          <w:kern w:val="0"/>
          <w:sz w:val="28"/>
          <w:szCs w:val="28"/>
        </w:rPr>
        <w:t>Microsoft Word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编辑论文（因使用</w:t>
      </w:r>
      <w:r>
        <w:rPr>
          <w:rFonts w:ascii="Times New Roman" w:hAnsi="Times New Roman" w:eastAsia="仿宋"/>
          <w:b/>
          <w:bCs/>
          <w:color w:val="000000"/>
          <w:kern w:val="0"/>
          <w:sz w:val="28"/>
          <w:szCs w:val="28"/>
        </w:rPr>
        <w:t>WPS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等软件编辑文档导致论文上传或检测失败，由研究生本人自行承担后果），论文字符数应小于等于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</w:rPr>
        <w:t>300000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字符。若文档较大，会影响上传速度，因此论文中图片的分辨率应尽量调小，避免图片过大导致无法上传检测】：</w:t>
      </w: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</w:rPr>
        <w:t xml:space="preserve"> </w:t>
      </w:r>
    </w:p>
    <w:p w14:paraId="456AE400">
      <w:pPr>
        <w:widowControl/>
        <w:wordWrap w:val="0"/>
        <w:spacing w:line="480" w:lineRule="exact"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（一）登录广西医科大学研究生教育管理系统（内网入口：</w:t>
      </w:r>
      <w:r>
        <w:rPr>
          <w:rFonts w:ascii="仿宋" w:hAnsi="仿宋" w:eastAsia="仿宋" w:cs="仿宋"/>
          <w:color w:val="000000"/>
          <w:kern w:val="0"/>
          <w:sz w:val="28"/>
          <w:szCs w:val="28"/>
        </w:rPr>
        <w:t xml:space="preserve"> https://yjspt.gxmu.edu.cn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，外网入口：</w:t>
      </w:r>
      <w:r>
        <w:rPr>
          <w:rFonts w:ascii="仿宋" w:hAnsi="仿宋" w:eastAsia="仿宋" w:cs="仿宋"/>
          <w:color w:val="000000"/>
          <w:kern w:val="0"/>
          <w:sz w:val="28"/>
          <w:szCs w:val="28"/>
        </w:rPr>
        <w:t>https://yjsxt.gxmu.edu.c</w:t>
      </w:r>
      <w:bookmarkStart w:id="0" w:name="_GoBack"/>
      <w:bookmarkEnd w:id="0"/>
      <w:r>
        <w:rPr>
          <w:rFonts w:ascii="仿宋" w:hAnsi="仿宋" w:eastAsia="仿宋" w:cs="仿宋"/>
          <w:color w:val="000000"/>
          <w:kern w:val="0"/>
          <w:sz w:val="28"/>
          <w:szCs w:val="28"/>
        </w:rPr>
        <w:t>n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）；或从研究生院网站</w:t>
      </w:r>
      <w:r>
        <w:rPr>
          <w:rFonts w:ascii="仿宋" w:hAnsi="仿宋" w:eastAsia="仿宋" w:cs="仿宋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</w:t>
      </w:r>
      <w:r>
        <w:rPr>
          <w:rFonts w:ascii="仿宋" w:hAnsi="仿宋" w:eastAsia="仿宋" w:cs="仿宋"/>
          <w:color w:val="000000"/>
          <w:kern w:val="0"/>
          <w:sz w:val="28"/>
          <w:szCs w:val="28"/>
        </w:rPr>
        <w:t>https://yjs.gxmu.edu.cn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）右下方相关链接进入系统；</w:t>
      </w:r>
    </w:p>
    <w:p w14:paraId="0959A0C3">
      <w:pPr>
        <w:widowControl/>
        <w:ind w:firstLine="560" w:firstLineChars="200"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 id="_x0000_i1025" o:spt="75" type="#_x0000_t75" style="height:124.2pt;width:193.2pt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pict>
      </w:r>
    </w:p>
    <w:p w14:paraId="2107487D">
      <w:pPr>
        <w:widowControl/>
        <w:numPr>
          <w:ilvl w:val="0"/>
          <w:numId w:val="1"/>
        </w:numPr>
        <w:spacing w:line="480" w:lineRule="exact"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登录身份：选择学生版，登录本人账号和密码；</w:t>
      </w:r>
    </w:p>
    <w:p w14:paraId="044FA981">
      <w:pPr>
        <w:widowControl/>
        <w:ind w:firstLine="560" w:firstLineChars="200"/>
        <w:jc w:val="center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sz w:val="28"/>
          <w:szCs w:val="28"/>
        </w:rPr>
        <w:pict>
          <v:shape id="_x0000_i1026" o:spt="75" type="#_x0000_t75" style="height:136.2pt;width:204.6pt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pict>
      </w:r>
    </w:p>
    <w:p w14:paraId="39B8CE3D">
      <w:pPr>
        <w:widowControl/>
        <w:numPr>
          <w:ilvl w:val="0"/>
          <w:numId w:val="1"/>
        </w:numPr>
        <w:spacing w:line="480" w:lineRule="exact"/>
        <w:ind w:firstLine="560" w:firstLineChars="200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进入系统后，在左侧系统功能菜单栏目中依次选择“答辩管理”</w:t>
      </w:r>
      <w:r>
        <w:rPr>
          <w:rFonts w:cs="Calibri"/>
          <w:color w:val="000000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“答辩前论文检测”后按照如图所示进行后续操作登录新系统；</w:t>
      </w:r>
    </w:p>
    <w:p w14:paraId="27CD45E6">
      <w:pPr>
        <w:widowControl/>
        <w:jc w:val="center"/>
      </w:pPr>
      <w:r>
        <w:pict>
          <v:shape id="_x0000_i1027" o:spt="75" type="#_x0000_t75" style="height:189.6pt;width:425.4pt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</w:pict>
      </w:r>
    </w:p>
    <w:p w14:paraId="033A615A">
      <w:pPr>
        <w:widowControl/>
        <w:jc w:val="center"/>
      </w:pPr>
      <w:r>
        <w:pict>
          <v:shape id="_x0000_i1028" o:spt="75" type="#_x0000_t75" style="height:189.6pt;width:425.4pt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</w:pict>
      </w:r>
    </w:p>
    <w:p w14:paraId="46370805">
      <w:pPr>
        <w:widowControl/>
        <w:spacing w:line="480" w:lineRule="exact"/>
        <w:ind w:firstLine="560" w:firstLineChars="200"/>
        <w:rPr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（四）登录新系统后按如图所示上传论文；</w:t>
      </w:r>
    </w:p>
    <w:p w14:paraId="1002834F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 id="_x0000_i1029" o:spt="75" type="#_x0000_t75" style="height:184.2pt;width:420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</w:p>
    <w:p w14:paraId="079EBB51">
      <w:pPr>
        <w:widowControl/>
        <w:spacing w:line="480" w:lineRule="exact"/>
        <w:ind w:firstLine="560" w:firstLineChars="200"/>
        <w:jc w:val="left"/>
        <w:rPr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（五）认真阅读“教育部第</w:t>
      </w:r>
      <w:r>
        <w:rPr>
          <w:rFonts w:ascii="仿宋" w:hAnsi="仿宋" w:eastAsia="仿宋" w:cs="仿宋"/>
          <w:color w:val="000000"/>
          <w:kern w:val="0"/>
          <w:sz w:val="28"/>
          <w:szCs w:val="28"/>
        </w:rPr>
        <w:t>34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号令”及“关于规范研究生学位论文与实践成果使用人工智能工具的倡议书”，再点击“电子签名同意承诺”继续上传论文。</w:t>
      </w:r>
    </w:p>
    <w:p w14:paraId="6D68715F">
      <w:pPr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 id="_x0000_i1030" o:spt="75" type="#_x0000_t75" style="height:168.6pt;width:361.2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</w:p>
    <w:p w14:paraId="17A333AA">
      <w:pPr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 id="_x0000_i1031" o:spt="75" type="#_x0000_t75" style="height:168.6pt;width:366.6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</w:p>
    <w:p w14:paraId="3BD25B78">
      <w:pPr>
        <w:widowControl/>
        <w:spacing w:line="480" w:lineRule="exact"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（六）完成“研究生论文写作</w:t>
      </w:r>
      <w:r>
        <w:rPr>
          <w:rFonts w:ascii="仿宋" w:hAnsi="仿宋" w:eastAsia="仿宋" w:cs="仿宋"/>
          <w:color w:val="000000"/>
          <w:kern w:val="0"/>
          <w:sz w:val="28"/>
          <w:szCs w:val="28"/>
        </w:rPr>
        <w:t>AI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使用与学术规范行为调查问卷”后点击保存；</w:t>
      </w:r>
    </w:p>
    <w:p w14:paraId="4C5D11B8">
      <w:pPr>
        <w:rPr>
          <w:sz w:val="28"/>
          <w:szCs w:val="28"/>
        </w:rPr>
      </w:pPr>
      <w:r>
        <w:rPr>
          <w:sz w:val="28"/>
          <w:szCs w:val="28"/>
        </w:rPr>
        <w:pict>
          <v:shape id="_x0000_i1032" o:spt="75" type="#_x0000_t75" style="height:191.4pt;width:414.6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</w:p>
    <w:p w14:paraId="477585C3">
      <w:pPr>
        <w:widowControl/>
        <w:spacing w:line="480" w:lineRule="exact"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（七）进入上传界面，选择类别“答辩前”</w:t>
      </w:r>
      <w:r>
        <w:rPr>
          <w:rFonts w:cs="Calibri"/>
          <w:color w:val="000000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填写“论文标题”（论文说明一栏可不填写）</w:t>
      </w:r>
      <w:r>
        <w:rPr>
          <w:rFonts w:cs="Calibri"/>
          <w:color w:val="000000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选择文件</w:t>
      </w:r>
      <w:r>
        <w:rPr>
          <w:rFonts w:cs="Calibri"/>
          <w:color w:val="000000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保存。</w:t>
      </w:r>
    </w:p>
    <w:p w14:paraId="23A0F3D2">
      <w:pPr>
        <w:widowControl/>
        <w:jc w:val="left"/>
        <w:rPr>
          <w:rFonts w:ascii="仿宋" w:hAnsi="仿宋" w:eastAsia="仿宋" w:cs="仿宋"/>
          <w:color w:val="000000"/>
          <w:kern w:val="0"/>
          <w:sz w:val="31"/>
          <w:szCs w:val="31"/>
        </w:rPr>
      </w:pPr>
      <w:r>
        <w:pict>
          <v:shape id="_x0000_i1033" o:spt="75" type="#_x0000_t75" style="height:192.6pt;width:414.6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0CD2CE77">
      <w:r>
        <w:rPr>
          <w:rFonts w:hint="eastAsia" w:ascii="黑体" w:hAnsi="宋体" w:eastAsia="黑体" w:cs="黑体"/>
          <w:color w:val="000000"/>
          <w:kern w:val="0"/>
          <w:sz w:val="28"/>
          <w:szCs w:val="28"/>
        </w:rPr>
        <w:t>二、学位论文重新提交检测流程</w:t>
      </w:r>
    </w:p>
    <w:p w14:paraId="2F165A8C">
      <w:pPr>
        <w:widowControl/>
        <w:spacing w:line="480" w:lineRule="exact"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（一）按前文所述登录新版网页端研究生教育管理系统，并按如图所示进入“重新提交检测申请书”页面并上传申请书（附件</w:t>
      </w:r>
      <w:r>
        <w:rPr>
          <w:rFonts w:ascii="仿宋" w:hAnsi="仿宋" w:eastAsia="仿宋" w:cs="仿宋"/>
          <w:color w:val="000000"/>
          <w:kern w:val="0"/>
          <w:sz w:val="28"/>
          <w:szCs w:val="28"/>
        </w:rPr>
        <w:t>4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）。</w:t>
      </w:r>
    </w:p>
    <w:p w14:paraId="4AF008D8">
      <w:pPr>
        <w:jc w:val="center"/>
      </w:pPr>
      <w:r>
        <w:pict>
          <v:shape id="_x0000_i1034" o:spt="75" type="#_x0000_t75" style="height:168.6pt;width:394.8pt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pict>
      </w:r>
    </w:p>
    <w:p w14:paraId="4E04EA2A"/>
    <w:p w14:paraId="3D4CCF98">
      <w:pPr>
        <w:jc w:val="center"/>
      </w:pPr>
      <w:r>
        <w:pict>
          <v:shape id="_x0000_i1035" o:spt="75" type="#_x0000_t75" style="height:171.6pt;width:231.6pt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pict>
      </w:r>
    </w:p>
    <w:p w14:paraId="5082FCAB">
      <w:pPr>
        <w:widowControl/>
        <w:spacing w:line="480" w:lineRule="exact"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（二）按如图所示进入“自行知网检测结果”页面，上传本人在中国知网通过检测的论文检测报告及</w:t>
      </w:r>
      <w:r>
        <w:rPr>
          <w:rFonts w:ascii="仿宋" w:hAnsi="仿宋" w:eastAsia="仿宋" w:cs="仿宋"/>
          <w:color w:val="000000"/>
          <w:kern w:val="0"/>
          <w:sz w:val="28"/>
          <w:szCs w:val="28"/>
        </w:rPr>
        <w:t>AI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检测报告。</w:t>
      </w:r>
    </w:p>
    <w:p w14:paraId="3EF35A06">
      <w:pPr>
        <w:jc w:val="center"/>
      </w:pPr>
      <w:r>
        <w:pict>
          <v:shape id="_x0000_i1036" o:spt="75" type="#_x0000_t75" style="height:167.4pt;width:394.8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</w:p>
    <w:p w14:paraId="66A4B16B">
      <w:pPr>
        <w:jc w:val="center"/>
      </w:pPr>
      <w:r>
        <w:pict>
          <v:shape id="_x0000_i1037" o:spt="75" type="#_x0000_t75" style="height:184.2pt;width:247.8pt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</w:pic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6F61A">
    <w:pPr>
      <w:pStyle w:val="2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917CDAA">
                <w:pPr>
                  <w:pStyle w:val="2"/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2F62FA"/>
    <w:multiLevelType w:val="singleLevel"/>
    <w:tmpl w:val="D42F62FA"/>
    <w:lvl w:ilvl="0" w:tentative="0">
      <w:start w:val="2"/>
      <w:numFmt w:val="chineseCounting"/>
      <w:suff w:val="nothing"/>
      <w:lvlText w:val="（%1）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629A6A8A"/>
    <w:rsid w:val="009F741B"/>
    <w:rsid w:val="00B301B9"/>
    <w:rsid w:val="00C14158"/>
    <w:rsid w:val="00C37729"/>
    <w:rsid w:val="00D7202E"/>
    <w:rsid w:val="00E87183"/>
    <w:rsid w:val="05ED4680"/>
    <w:rsid w:val="17E420E7"/>
    <w:rsid w:val="1F354BC3"/>
    <w:rsid w:val="3A4D0CEF"/>
    <w:rsid w:val="45757B02"/>
    <w:rsid w:val="4C1F6B05"/>
    <w:rsid w:val="4CC87AD7"/>
    <w:rsid w:val="4EB07ED7"/>
    <w:rsid w:val="575173CC"/>
    <w:rsid w:val="597B2AAC"/>
    <w:rsid w:val="610355EE"/>
    <w:rsid w:val="629A6A8A"/>
    <w:rsid w:val="6F3B50E3"/>
    <w:rsid w:val="746C6120"/>
    <w:rsid w:val="75BE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607</Words>
  <Characters>704</Characters>
  <Lines>0</Lines>
  <Paragraphs>0</Paragraphs>
  <TotalTime>30</TotalTime>
  <ScaleCrop>false</ScaleCrop>
  <LinksUpToDate>false</LinksUpToDate>
  <CharactersWithSpaces>710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2026-04-25T17:31:00Z</dcterms:created>
  <dc:creator>り言川</dc:creator>
  <cp:lastModifiedBy>张原</cp:lastModifiedBy>
  <cp:lastPrinted>2026-04-29T09:49:00Z</cp:lastPrinted>
  <dcterms:modified xsi:type="dcterms:W3CDTF">2026-10-09T10:25:16Z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B5EBBD4248D64E1B90749E57696C68D3_13</vt:lpwstr>
  </property>
  <property fmtid="{D5CDD505-2E9C-101B-9397-08002B2CF9AE}" pid="4" name="KSOTemplateDocerSaveRecord">
    <vt:lpwstr>eyJoZGlkIjoiMDI3NTFjZTVhYTlmYmMyZjQ4MjVlMzMyYzU3MDZjNGMiLCJ1c2VySWQiOiIxNjE3OTg0MjY3In0=</vt:lpwstr>
  </property>
</Properties>
</file>