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3D9EA">
      <w:pPr>
        <w:widowControl/>
        <w:snapToGrid w:val="0"/>
        <w:spacing w:line="480" w:lineRule="exact"/>
        <w:jc w:val="left"/>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rPr>
        <w:t>附件</w:t>
      </w:r>
      <w:r>
        <w:rPr>
          <w:rFonts w:hint="default" w:ascii="Times New Roman" w:hAnsi="Times New Roman" w:eastAsia="黑体" w:cs="Times New Roman"/>
          <w:color w:val="000000"/>
          <w:kern w:val="0"/>
          <w:sz w:val="28"/>
          <w:szCs w:val="28"/>
        </w:rPr>
        <w:t xml:space="preserve"> </w:t>
      </w:r>
      <w:r>
        <w:rPr>
          <w:rFonts w:hint="default" w:ascii="Times New Roman" w:hAnsi="Times New Roman" w:eastAsia="黑体" w:cs="Times New Roman"/>
          <w:color w:val="000000"/>
          <w:kern w:val="0"/>
          <w:sz w:val="28"/>
          <w:szCs w:val="28"/>
          <w:lang w:val="en-US" w:eastAsia="zh-CN"/>
        </w:rPr>
        <w:t>3</w:t>
      </w:r>
      <w:r>
        <w:rPr>
          <w:rFonts w:hint="default" w:ascii="Times New Roman" w:hAnsi="Times New Roman" w:eastAsia="黑体" w:cs="Times New Roman"/>
          <w:color w:val="000000"/>
          <w:kern w:val="0"/>
          <w:sz w:val="28"/>
          <w:szCs w:val="28"/>
        </w:rPr>
        <w:t xml:space="preserve"> </w:t>
      </w:r>
    </w:p>
    <w:p w14:paraId="03241B76">
      <w:pPr>
        <w:widowControl/>
        <w:snapToGrid w:val="0"/>
        <w:spacing w:line="480" w:lineRule="exact"/>
        <w:jc w:val="left"/>
        <w:rPr>
          <w:rFonts w:ascii="黑体" w:hAnsi="宋体" w:eastAsia="黑体" w:cs="黑体"/>
          <w:color w:val="000000"/>
          <w:kern w:val="0"/>
          <w:sz w:val="28"/>
          <w:szCs w:val="28"/>
        </w:rPr>
      </w:pPr>
    </w:p>
    <w:p w14:paraId="647184A8">
      <w:pPr>
        <w:widowControl/>
        <w:snapToGrid w:val="0"/>
        <w:spacing w:line="480" w:lineRule="exact"/>
        <w:jc w:val="center"/>
        <w:rPr>
          <w:rFonts w:ascii="黑体" w:hAnsi="宋体" w:eastAsia="黑体" w:cs="黑体"/>
          <w:color w:val="000000"/>
          <w:kern w:val="0"/>
          <w:sz w:val="44"/>
          <w:szCs w:val="44"/>
        </w:rPr>
      </w:pPr>
      <w:r>
        <w:rPr>
          <w:rFonts w:hint="eastAsia" w:ascii="黑体" w:hAnsi="宋体" w:eastAsia="黑体" w:cs="黑体"/>
          <w:color w:val="000000"/>
          <w:kern w:val="0"/>
          <w:sz w:val="44"/>
          <w:szCs w:val="44"/>
        </w:rPr>
        <w:t>学位论文相似度及</w:t>
      </w:r>
      <w:r>
        <w:rPr>
          <w:rFonts w:ascii="Times New Roman" w:hAnsi="Times New Roman" w:eastAsia="黑体"/>
          <w:color w:val="000000"/>
          <w:kern w:val="0"/>
          <w:sz w:val="44"/>
          <w:szCs w:val="44"/>
        </w:rPr>
        <w:t>AIGC</w:t>
      </w:r>
      <w:r>
        <w:rPr>
          <w:rFonts w:hint="eastAsia" w:ascii="黑体" w:hAnsi="宋体" w:eastAsia="黑体" w:cs="黑体"/>
          <w:color w:val="000000"/>
          <w:kern w:val="0"/>
          <w:sz w:val="44"/>
          <w:szCs w:val="44"/>
        </w:rPr>
        <w:t>检测</w:t>
      </w:r>
    </w:p>
    <w:p w14:paraId="658BE80A">
      <w:pPr>
        <w:widowControl/>
        <w:snapToGrid w:val="0"/>
        <w:spacing w:line="480" w:lineRule="exact"/>
        <w:jc w:val="center"/>
        <w:rPr>
          <w:rFonts w:ascii="黑体" w:hAnsi="宋体" w:eastAsia="黑体" w:cs="黑体"/>
          <w:color w:val="000000"/>
          <w:kern w:val="0"/>
          <w:sz w:val="44"/>
          <w:szCs w:val="44"/>
        </w:rPr>
      </w:pPr>
      <w:r>
        <w:rPr>
          <w:rFonts w:hint="eastAsia" w:ascii="黑体" w:hAnsi="宋体" w:eastAsia="黑体" w:cs="黑体"/>
          <w:color w:val="000000"/>
          <w:kern w:val="0"/>
          <w:sz w:val="44"/>
          <w:szCs w:val="44"/>
        </w:rPr>
        <w:t>上传具体要求</w:t>
      </w:r>
    </w:p>
    <w:p w14:paraId="6B88AA09">
      <w:pPr>
        <w:widowControl/>
        <w:snapToGrid w:val="0"/>
        <w:spacing w:line="480" w:lineRule="exact"/>
        <w:jc w:val="left"/>
        <w:rPr>
          <w:rFonts w:ascii="黑体" w:hAnsi="宋体" w:eastAsia="黑体" w:cs="黑体"/>
          <w:color w:val="000000"/>
          <w:kern w:val="0"/>
          <w:sz w:val="28"/>
          <w:szCs w:val="28"/>
        </w:rPr>
      </w:pPr>
    </w:p>
    <w:p w14:paraId="27B8389C">
      <w:pPr>
        <w:widowControl/>
        <w:snapToGrid w:val="0"/>
        <w:spacing w:line="480" w:lineRule="exact"/>
        <w:ind w:firstLine="560" w:firstLineChars="200"/>
        <w:jc w:val="left"/>
      </w:pPr>
      <w:r>
        <w:rPr>
          <w:rFonts w:hint="eastAsia" w:ascii="黑体" w:hAnsi="宋体" w:eastAsia="黑体" w:cs="黑体"/>
          <w:color w:val="000000"/>
          <w:kern w:val="0"/>
          <w:sz w:val="28"/>
          <w:szCs w:val="28"/>
        </w:rPr>
        <w:t>一、论文内容要求</w:t>
      </w:r>
      <w:r>
        <w:rPr>
          <w:rFonts w:ascii="黑体" w:hAnsi="宋体" w:eastAsia="黑体" w:cs="黑体"/>
          <w:color w:val="000000"/>
          <w:kern w:val="0"/>
          <w:sz w:val="31"/>
          <w:szCs w:val="31"/>
        </w:rPr>
        <w:t xml:space="preserve"> </w:t>
      </w:r>
    </w:p>
    <w:p w14:paraId="578CEA63">
      <w:pPr>
        <w:widowControl/>
        <w:snapToGrid w:val="0"/>
        <w:spacing w:line="48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进行相似度及</w:t>
      </w:r>
      <w:r>
        <w:rPr>
          <w:rFonts w:ascii="Times New Roman" w:hAnsi="Times New Roman" w:eastAsia="仿宋"/>
          <w:color w:val="000000"/>
          <w:kern w:val="0"/>
          <w:sz w:val="28"/>
          <w:szCs w:val="28"/>
        </w:rPr>
        <w:t>AIGC</w:t>
      </w:r>
      <w:r>
        <w:rPr>
          <w:rFonts w:hint="eastAsia" w:ascii="仿宋" w:hAnsi="仿宋" w:eastAsia="仿宋" w:cs="仿宋"/>
          <w:color w:val="000000"/>
          <w:kern w:val="0"/>
          <w:sz w:val="28"/>
          <w:szCs w:val="28"/>
        </w:rPr>
        <w:t>检测的论文</w:t>
      </w:r>
      <w:r>
        <w:rPr>
          <w:rFonts w:hint="eastAsia" w:ascii="仿宋" w:hAnsi="仿宋" w:eastAsia="仿宋" w:cs="仿宋"/>
          <w:b/>
          <w:bCs/>
          <w:color w:val="000000"/>
          <w:kern w:val="0"/>
          <w:sz w:val="28"/>
          <w:szCs w:val="28"/>
        </w:rPr>
        <w:t>必须为</w:t>
      </w:r>
      <w:r>
        <w:rPr>
          <w:rFonts w:hint="eastAsia" w:ascii="仿宋" w:hAnsi="仿宋" w:eastAsia="仿宋" w:cs="仿宋"/>
          <w:color w:val="000000"/>
          <w:kern w:val="0"/>
          <w:sz w:val="28"/>
          <w:szCs w:val="28"/>
        </w:rPr>
        <w:t>：参加校外双盲评阅的正式、完整的学位论文（不能出现致谢，除封面外不能出现个人信息），检测内容</w:t>
      </w:r>
      <w:r>
        <w:rPr>
          <w:rFonts w:hint="eastAsia" w:ascii="仿宋" w:hAnsi="仿宋" w:eastAsia="仿宋" w:cs="仿宋"/>
          <w:b/>
          <w:bCs/>
          <w:color w:val="FF0000"/>
          <w:kern w:val="0"/>
          <w:sz w:val="28"/>
          <w:szCs w:val="28"/>
        </w:rPr>
        <w:t>必须包括</w:t>
      </w:r>
      <w:r>
        <w:rPr>
          <w:rFonts w:hint="eastAsia" w:ascii="仿宋" w:hAnsi="仿宋" w:eastAsia="仿宋" w:cs="仿宋"/>
          <w:color w:val="000000"/>
          <w:kern w:val="0"/>
          <w:sz w:val="28"/>
          <w:szCs w:val="28"/>
        </w:rPr>
        <w:t>：封面（</w:t>
      </w:r>
      <w:r>
        <w:rPr>
          <w:rFonts w:hint="eastAsia" w:ascii="仿宋" w:hAnsi="仿宋" w:eastAsia="仿宋" w:cs="仿宋"/>
          <w:b/>
          <w:color w:val="FF0000"/>
          <w:kern w:val="0"/>
          <w:sz w:val="28"/>
          <w:szCs w:val="28"/>
        </w:rPr>
        <w:t>非双盲论文封面</w:t>
      </w:r>
      <w:r>
        <w:rPr>
          <w:rFonts w:hint="eastAsia" w:ascii="仿宋" w:hAnsi="仿宋" w:eastAsia="仿宋" w:cs="仿宋"/>
          <w:color w:val="000000"/>
          <w:kern w:val="0"/>
          <w:sz w:val="28"/>
          <w:szCs w:val="28"/>
        </w:rPr>
        <w:t>）、主要英文缩写词索引、目录、中文摘要、英文摘要、前言、学位论文正文（含参考文献）、综述（含参考文献），如有附录，请纳入学位论文中。</w:t>
      </w:r>
      <w:r>
        <w:rPr>
          <w:rFonts w:hint="eastAsia" w:ascii="仿宋" w:hAnsi="仿宋" w:eastAsia="仿宋" w:cs="仿宋"/>
          <w:color w:val="FF0000"/>
          <w:kern w:val="0"/>
          <w:sz w:val="28"/>
          <w:szCs w:val="28"/>
        </w:rPr>
        <w:t>个人及导师信息仅可以出现在提交检测学位论文的封面上，其余部分均按照双盲学位论文版式编排。</w:t>
      </w:r>
    </w:p>
    <w:p w14:paraId="452D4F65">
      <w:pPr>
        <w:widowControl/>
        <w:snapToGrid w:val="0"/>
        <w:spacing w:line="480" w:lineRule="exact"/>
        <w:ind w:firstLine="560" w:firstLineChars="200"/>
        <w:jc w:val="left"/>
      </w:pPr>
      <w:r>
        <w:rPr>
          <w:rFonts w:hint="eastAsia" w:ascii="黑体" w:hAnsi="宋体" w:eastAsia="黑体" w:cs="黑体"/>
          <w:color w:val="000000"/>
          <w:kern w:val="0"/>
          <w:sz w:val="28"/>
          <w:szCs w:val="28"/>
        </w:rPr>
        <w:t>二、论文字数要求</w:t>
      </w:r>
      <w:r>
        <w:rPr>
          <w:rFonts w:ascii="黑体" w:hAnsi="宋体" w:eastAsia="黑体" w:cs="黑体"/>
          <w:color w:val="000000"/>
          <w:kern w:val="0"/>
          <w:sz w:val="31"/>
          <w:szCs w:val="31"/>
        </w:rPr>
        <w:t xml:space="preserve"> </w:t>
      </w:r>
    </w:p>
    <w:p w14:paraId="43517094">
      <w:pPr>
        <w:widowControl/>
        <w:snapToGrid w:val="0"/>
        <w:spacing w:line="480" w:lineRule="exact"/>
        <w:ind w:firstLine="560" w:firstLineChars="200"/>
        <w:jc w:val="left"/>
        <w:rPr>
          <w:sz w:val="28"/>
          <w:szCs w:val="28"/>
        </w:rPr>
      </w:pPr>
      <w:r>
        <w:rPr>
          <w:rFonts w:hint="eastAsia" w:ascii="仿宋" w:hAnsi="仿宋" w:eastAsia="仿宋" w:cs="仿宋"/>
          <w:color w:val="000000"/>
          <w:kern w:val="0"/>
          <w:sz w:val="28"/>
          <w:szCs w:val="28"/>
        </w:rPr>
        <w:t>根据《广西医科大学研究生学位论文撰写及印制格式规范（</w:t>
      </w:r>
      <w:r>
        <w:rPr>
          <w:rFonts w:ascii="仿宋" w:hAnsi="仿宋" w:eastAsia="仿宋" w:cs="仿宋"/>
          <w:color w:val="000000"/>
          <w:kern w:val="0"/>
          <w:sz w:val="28"/>
          <w:szCs w:val="28"/>
        </w:rPr>
        <w:t xml:space="preserve">2021 </w:t>
      </w:r>
      <w:r>
        <w:rPr>
          <w:rFonts w:hint="eastAsia" w:ascii="仿宋" w:hAnsi="仿宋" w:eastAsia="仿宋" w:cs="仿宋"/>
          <w:color w:val="000000"/>
          <w:kern w:val="0"/>
          <w:sz w:val="28"/>
          <w:szCs w:val="28"/>
        </w:rPr>
        <w:t>年修订）》（桂医大研〔</w:t>
      </w:r>
      <w:r>
        <w:rPr>
          <w:rFonts w:ascii="仿宋" w:hAnsi="仿宋" w:eastAsia="仿宋" w:cs="仿宋"/>
          <w:color w:val="000000"/>
          <w:kern w:val="0"/>
          <w:sz w:val="28"/>
          <w:szCs w:val="28"/>
        </w:rPr>
        <w:t>2021</w:t>
      </w:r>
      <w:r>
        <w:rPr>
          <w:rFonts w:hint="eastAsia" w:ascii="仿宋" w:hAnsi="仿宋" w:eastAsia="仿宋" w:cs="仿宋"/>
          <w:color w:val="000000"/>
          <w:kern w:val="0"/>
          <w:sz w:val="28"/>
          <w:szCs w:val="28"/>
        </w:rPr>
        <w:t>〕</w:t>
      </w:r>
      <w:r>
        <w:rPr>
          <w:rFonts w:ascii="仿宋" w:hAnsi="仿宋" w:eastAsia="仿宋" w:cs="仿宋"/>
          <w:color w:val="000000"/>
          <w:kern w:val="0"/>
          <w:sz w:val="28"/>
          <w:szCs w:val="28"/>
        </w:rPr>
        <w:t xml:space="preserve">44 </w:t>
      </w:r>
      <w:r>
        <w:rPr>
          <w:rFonts w:hint="eastAsia" w:ascii="仿宋" w:hAnsi="仿宋" w:eastAsia="仿宋" w:cs="仿宋"/>
          <w:color w:val="000000"/>
          <w:kern w:val="0"/>
          <w:sz w:val="28"/>
          <w:szCs w:val="28"/>
        </w:rPr>
        <w:t>号），学位论文应用中文（简体汉字）撰写（英文摘要及参考文献除外），一般情况下学位论文主体部分（包括：中文摘要、英文摘要、前言、学位论文正文、全文总结及展望、参考文献）和文献综述（含综述参考文献）的字数（非字符数）要求如下：</w:t>
      </w:r>
      <w:r>
        <w:rPr>
          <w:rFonts w:ascii="仿宋" w:hAnsi="仿宋" w:eastAsia="仿宋" w:cs="仿宋"/>
          <w:color w:val="000000"/>
          <w:kern w:val="0"/>
          <w:sz w:val="28"/>
          <w:szCs w:val="28"/>
        </w:rPr>
        <w:t xml:space="preserve"> </w:t>
      </w:r>
    </w:p>
    <w:p w14:paraId="3557B318">
      <w:pPr>
        <w:widowControl/>
        <w:snapToGrid w:val="0"/>
        <w:spacing w:line="480" w:lineRule="exact"/>
        <w:ind w:firstLine="560" w:firstLineChars="200"/>
        <w:jc w:val="left"/>
        <w:rPr>
          <w:sz w:val="28"/>
          <w:szCs w:val="28"/>
        </w:rPr>
      </w:pPr>
      <w:r>
        <w:rPr>
          <w:rFonts w:hint="eastAsia" w:ascii="仿宋" w:hAnsi="仿宋" w:eastAsia="仿宋" w:cs="仿宋"/>
          <w:color w:val="000000"/>
          <w:kern w:val="0"/>
          <w:sz w:val="28"/>
          <w:szCs w:val="28"/>
        </w:rPr>
        <w:t>（一）申请学术型博士学位：主体部分不少于</w:t>
      </w:r>
      <w:r>
        <w:rPr>
          <w:rFonts w:ascii="仿宋" w:hAnsi="仿宋" w:eastAsia="仿宋" w:cs="仿宋"/>
          <w:color w:val="000000"/>
          <w:kern w:val="0"/>
          <w:sz w:val="28"/>
          <w:szCs w:val="28"/>
        </w:rPr>
        <w:t xml:space="preserve"> 5 </w:t>
      </w:r>
      <w:r>
        <w:rPr>
          <w:rFonts w:hint="eastAsia" w:ascii="仿宋" w:hAnsi="仿宋" w:eastAsia="仿宋" w:cs="仿宋"/>
          <w:color w:val="000000"/>
          <w:kern w:val="0"/>
          <w:sz w:val="28"/>
          <w:szCs w:val="28"/>
        </w:rPr>
        <w:t>万字，文献综述一般为</w:t>
      </w:r>
      <w:r>
        <w:rPr>
          <w:rFonts w:ascii="仿宋" w:hAnsi="仿宋" w:eastAsia="仿宋" w:cs="仿宋"/>
          <w:color w:val="000000"/>
          <w:kern w:val="0"/>
          <w:sz w:val="28"/>
          <w:szCs w:val="28"/>
        </w:rPr>
        <w:t xml:space="preserve"> 0.8-1.0 </w:t>
      </w:r>
      <w:r>
        <w:rPr>
          <w:rFonts w:hint="eastAsia" w:ascii="仿宋" w:hAnsi="仿宋" w:eastAsia="仿宋" w:cs="仿宋"/>
          <w:color w:val="000000"/>
          <w:kern w:val="0"/>
          <w:sz w:val="28"/>
          <w:szCs w:val="28"/>
        </w:rPr>
        <w:t>万字。</w:t>
      </w:r>
      <w:r>
        <w:rPr>
          <w:rFonts w:ascii="仿宋" w:hAnsi="仿宋" w:eastAsia="仿宋" w:cs="仿宋"/>
          <w:color w:val="000000"/>
          <w:kern w:val="0"/>
          <w:sz w:val="28"/>
          <w:szCs w:val="28"/>
        </w:rPr>
        <w:t xml:space="preserve"> </w:t>
      </w:r>
    </w:p>
    <w:p w14:paraId="5D28F657">
      <w:pPr>
        <w:widowControl/>
        <w:snapToGrid w:val="0"/>
        <w:spacing w:line="480" w:lineRule="exact"/>
        <w:ind w:firstLine="560" w:firstLineChars="200"/>
        <w:jc w:val="left"/>
        <w:rPr>
          <w:sz w:val="28"/>
          <w:szCs w:val="28"/>
        </w:rPr>
      </w:pPr>
      <w:r>
        <w:rPr>
          <w:rFonts w:hint="eastAsia" w:ascii="仿宋" w:hAnsi="仿宋" w:eastAsia="仿宋" w:cs="仿宋"/>
          <w:color w:val="000000"/>
          <w:kern w:val="0"/>
          <w:sz w:val="28"/>
          <w:szCs w:val="28"/>
        </w:rPr>
        <w:t>（二）申请专业型博士学位：主体部分不少于</w:t>
      </w:r>
      <w:r>
        <w:rPr>
          <w:rFonts w:ascii="仿宋" w:hAnsi="仿宋" w:eastAsia="仿宋" w:cs="仿宋"/>
          <w:color w:val="000000"/>
          <w:kern w:val="0"/>
          <w:sz w:val="28"/>
          <w:szCs w:val="28"/>
        </w:rPr>
        <w:t xml:space="preserve"> 3 </w:t>
      </w:r>
      <w:r>
        <w:rPr>
          <w:rFonts w:hint="eastAsia" w:ascii="仿宋" w:hAnsi="仿宋" w:eastAsia="仿宋" w:cs="仿宋"/>
          <w:color w:val="000000"/>
          <w:kern w:val="0"/>
          <w:sz w:val="28"/>
          <w:szCs w:val="28"/>
        </w:rPr>
        <w:t>万字，文献综述一般为</w:t>
      </w:r>
      <w:r>
        <w:rPr>
          <w:rFonts w:ascii="仿宋" w:hAnsi="仿宋" w:eastAsia="仿宋" w:cs="仿宋"/>
          <w:color w:val="000000"/>
          <w:kern w:val="0"/>
          <w:sz w:val="28"/>
          <w:szCs w:val="28"/>
        </w:rPr>
        <w:t xml:space="preserve"> 0.5-0.8 </w:t>
      </w:r>
      <w:r>
        <w:rPr>
          <w:rFonts w:hint="eastAsia" w:ascii="仿宋" w:hAnsi="仿宋" w:eastAsia="仿宋" w:cs="仿宋"/>
          <w:color w:val="000000"/>
          <w:kern w:val="0"/>
          <w:sz w:val="28"/>
          <w:szCs w:val="28"/>
        </w:rPr>
        <w:t>万字。</w:t>
      </w:r>
      <w:r>
        <w:rPr>
          <w:rFonts w:ascii="仿宋" w:hAnsi="仿宋" w:eastAsia="仿宋" w:cs="仿宋"/>
          <w:color w:val="000000"/>
          <w:kern w:val="0"/>
          <w:sz w:val="28"/>
          <w:szCs w:val="28"/>
        </w:rPr>
        <w:t xml:space="preserve"> </w:t>
      </w:r>
    </w:p>
    <w:p w14:paraId="6EE0292A">
      <w:pPr>
        <w:widowControl/>
        <w:snapToGrid w:val="0"/>
        <w:spacing w:line="480" w:lineRule="exact"/>
        <w:ind w:firstLine="560" w:firstLineChars="200"/>
        <w:jc w:val="left"/>
        <w:rPr>
          <w:sz w:val="28"/>
          <w:szCs w:val="28"/>
        </w:rPr>
      </w:pPr>
      <w:r>
        <w:rPr>
          <w:rFonts w:hint="eastAsia" w:ascii="仿宋" w:hAnsi="仿宋" w:eastAsia="仿宋" w:cs="仿宋"/>
          <w:color w:val="000000"/>
          <w:kern w:val="0"/>
          <w:sz w:val="28"/>
          <w:szCs w:val="28"/>
        </w:rPr>
        <w:t>（三）申请学术型硕士学位</w:t>
      </w:r>
      <w:bookmarkStart w:id="0" w:name="_GoBack"/>
      <w:bookmarkEnd w:id="0"/>
      <w:r>
        <w:rPr>
          <w:rFonts w:hint="eastAsia" w:ascii="仿宋" w:hAnsi="仿宋" w:eastAsia="仿宋" w:cs="仿宋"/>
          <w:color w:val="000000"/>
          <w:kern w:val="0"/>
          <w:sz w:val="28"/>
          <w:szCs w:val="28"/>
        </w:rPr>
        <w:t>：主体部分不少于</w:t>
      </w:r>
      <w:r>
        <w:rPr>
          <w:rFonts w:ascii="仿宋" w:hAnsi="仿宋" w:eastAsia="仿宋" w:cs="仿宋"/>
          <w:color w:val="000000"/>
          <w:kern w:val="0"/>
          <w:sz w:val="28"/>
          <w:szCs w:val="28"/>
        </w:rPr>
        <w:t xml:space="preserve"> 2.5 </w:t>
      </w:r>
      <w:r>
        <w:rPr>
          <w:rFonts w:hint="eastAsia" w:ascii="仿宋" w:hAnsi="仿宋" w:eastAsia="仿宋" w:cs="仿宋"/>
          <w:color w:val="000000"/>
          <w:kern w:val="0"/>
          <w:sz w:val="28"/>
          <w:szCs w:val="28"/>
        </w:rPr>
        <w:t>万字，文献综述一般为</w:t>
      </w:r>
      <w:r>
        <w:rPr>
          <w:rFonts w:ascii="仿宋" w:hAnsi="仿宋" w:eastAsia="仿宋" w:cs="仿宋"/>
          <w:color w:val="000000"/>
          <w:kern w:val="0"/>
          <w:sz w:val="28"/>
          <w:szCs w:val="28"/>
        </w:rPr>
        <w:t xml:space="preserve"> 0.5-0.8 </w:t>
      </w:r>
      <w:r>
        <w:rPr>
          <w:rFonts w:hint="eastAsia" w:ascii="仿宋" w:hAnsi="仿宋" w:eastAsia="仿宋" w:cs="仿宋"/>
          <w:color w:val="000000"/>
          <w:kern w:val="0"/>
          <w:sz w:val="28"/>
          <w:szCs w:val="28"/>
        </w:rPr>
        <w:t>万字。</w:t>
      </w:r>
      <w:r>
        <w:rPr>
          <w:rFonts w:ascii="仿宋" w:hAnsi="仿宋" w:eastAsia="仿宋" w:cs="仿宋"/>
          <w:color w:val="000000"/>
          <w:kern w:val="0"/>
          <w:sz w:val="28"/>
          <w:szCs w:val="28"/>
        </w:rPr>
        <w:t xml:space="preserve"> </w:t>
      </w:r>
    </w:p>
    <w:p w14:paraId="419C558F">
      <w:pPr>
        <w:widowControl/>
        <w:snapToGrid w:val="0"/>
        <w:spacing w:line="480" w:lineRule="exact"/>
        <w:ind w:firstLine="560" w:firstLineChars="200"/>
        <w:jc w:val="left"/>
        <w:rPr>
          <w:sz w:val="28"/>
          <w:szCs w:val="28"/>
        </w:rPr>
      </w:pPr>
      <w:r>
        <w:rPr>
          <w:rFonts w:hint="eastAsia" w:ascii="仿宋" w:hAnsi="仿宋" w:eastAsia="仿宋" w:cs="仿宋"/>
          <w:color w:val="000000"/>
          <w:kern w:val="0"/>
          <w:sz w:val="28"/>
          <w:szCs w:val="28"/>
        </w:rPr>
        <w:t>（四）申请专业学位硕士：学位论文主体部分字数不少于</w:t>
      </w:r>
      <w:r>
        <w:rPr>
          <w:rFonts w:ascii="仿宋" w:hAnsi="仿宋" w:eastAsia="仿宋" w:cs="仿宋"/>
          <w:color w:val="000000"/>
          <w:kern w:val="0"/>
          <w:sz w:val="28"/>
          <w:szCs w:val="28"/>
        </w:rPr>
        <w:t xml:space="preserve"> 1.5</w:t>
      </w:r>
      <w:r>
        <w:rPr>
          <w:rFonts w:hint="eastAsia" w:ascii="仿宋" w:hAnsi="仿宋" w:eastAsia="仿宋" w:cs="仿宋"/>
          <w:color w:val="000000"/>
          <w:kern w:val="0"/>
          <w:sz w:val="28"/>
          <w:szCs w:val="28"/>
        </w:rPr>
        <w:t>万，综述部分字数一般为</w:t>
      </w:r>
      <w:r>
        <w:rPr>
          <w:rFonts w:ascii="仿宋" w:hAnsi="仿宋" w:eastAsia="仿宋" w:cs="仿宋"/>
          <w:color w:val="000000"/>
          <w:kern w:val="0"/>
          <w:sz w:val="28"/>
          <w:szCs w:val="28"/>
        </w:rPr>
        <w:t xml:space="preserve"> 0.3-0.6 </w:t>
      </w:r>
      <w:r>
        <w:rPr>
          <w:rFonts w:hint="eastAsia" w:ascii="仿宋" w:hAnsi="仿宋" w:eastAsia="仿宋" w:cs="仿宋"/>
          <w:color w:val="000000"/>
          <w:kern w:val="0"/>
          <w:sz w:val="28"/>
          <w:szCs w:val="28"/>
        </w:rPr>
        <w:t>万。</w:t>
      </w:r>
      <w:r>
        <w:rPr>
          <w:rFonts w:ascii="仿宋" w:hAnsi="仿宋" w:eastAsia="仿宋" w:cs="仿宋"/>
          <w:color w:val="000000"/>
          <w:kern w:val="0"/>
          <w:sz w:val="28"/>
          <w:szCs w:val="28"/>
        </w:rPr>
        <w:t xml:space="preserve"> </w:t>
      </w:r>
    </w:p>
    <w:p w14:paraId="2F9758A5">
      <w:pPr>
        <w:widowControl/>
        <w:snapToGrid w:val="0"/>
        <w:spacing w:line="48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（五）来华留学研究生、在职博士研究生、同等学力人员：学位论文主体部分和综述部分字数参照研究生所申请的相应学位类型及层次要求。</w:t>
      </w:r>
    </w:p>
    <w:p w14:paraId="1A07D0CD">
      <w:pPr>
        <w:widowControl/>
        <w:snapToGrid w:val="0"/>
        <w:spacing w:line="480" w:lineRule="exact"/>
        <w:ind w:firstLine="560" w:firstLineChars="200"/>
        <w:jc w:val="left"/>
        <w:rPr>
          <w:sz w:val="28"/>
          <w:szCs w:val="28"/>
        </w:rPr>
      </w:pPr>
      <w:r>
        <w:rPr>
          <w:rFonts w:hint="eastAsia" w:ascii="黑体" w:hAnsi="宋体" w:eastAsia="黑体" w:cs="黑体"/>
          <w:color w:val="000000"/>
          <w:kern w:val="0"/>
          <w:sz w:val="28"/>
          <w:szCs w:val="28"/>
        </w:rPr>
        <w:t>三、论文格式、排版要求</w:t>
      </w:r>
      <w:r>
        <w:rPr>
          <w:rFonts w:ascii="黑体" w:hAnsi="宋体" w:eastAsia="黑体" w:cs="黑体"/>
          <w:color w:val="000000"/>
          <w:kern w:val="0"/>
          <w:sz w:val="28"/>
          <w:szCs w:val="28"/>
        </w:rPr>
        <w:t xml:space="preserve"> </w:t>
      </w:r>
    </w:p>
    <w:p w14:paraId="45D1086D">
      <w:pPr>
        <w:widowControl/>
        <w:snapToGrid w:val="0"/>
        <w:spacing w:line="480" w:lineRule="exact"/>
        <w:ind w:firstLine="560" w:firstLineChars="200"/>
        <w:jc w:val="left"/>
        <w:rPr>
          <w:sz w:val="28"/>
          <w:szCs w:val="28"/>
        </w:rPr>
      </w:pPr>
      <w:r>
        <w:rPr>
          <w:rFonts w:hint="eastAsia" w:ascii="仿宋" w:hAnsi="仿宋" w:eastAsia="仿宋" w:cs="仿宋"/>
          <w:color w:val="000000"/>
          <w:kern w:val="0"/>
          <w:sz w:val="28"/>
          <w:szCs w:val="28"/>
        </w:rPr>
        <w:t>提交检测的学位论文电子版为</w:t>
      </w:r>
      <w:r>
        <w:rPr>
          <w:rFonts w:ascii="Times New Roman" w:hAnsi="Times New Roman" w:eastAsia="仿宋"/>
          <w:color w:val="000000"/>
          <w:kern w:val="0"/>
          <w:sz w:val="28"/>
          <w:szCs w:val="28"/>
        </w:rPr>
        <w:t>PDF</w:t>
      </w:r>
      <w:r>
        <w:rPr>
          <w:rFonts w:hint="eastAsia" w:ascii="仿宋" w:hAnsi="仿宋" w:eastAsia="仿宋" w:cs="仿宋"/>
          <w:color w:val="000000"/>
          <w:kern w:val="0"/>
          <w:sz w:val="28"/>
          <w:szCs w:val="28"/>
        </w:rPr>
        <w:t>格式。学位论文格式、排版要求应遵守《广西医科大学研究生学位论文撰写及印制格式规范（</w:t>
      </w:r>
      <w:r>
        <w:rPr>
          <w:rFonts w:ascii="仿宋" w:hAnsi="仿宋" w:eastAsia="仿宋" w:cs="仿宋"/>
          <w:color w:val="000000"/>
          <w:kern w:val="0"/>
          <w:sz w:val="28"/>
          <w:szCs w:val="28"/>
        </w:rPr>
        <w:t>2021</w:t>
      </w:r>
      <w:r>
        <w:rPr>
          <w:rFonts w:hint="eastAsia" w:ascii="仿宋" w:hAnsi="仿宋" w:eastAsia="仿宋" w:cs="仿宋"/>
          <w:color w:val="000000"/>
          <w:kern w:val="0"/>
          <w:sz w:val="28"/>
          <w:szCs w:val="28"/>
        </w:rPr>
        <w:t>年修订）》（桂医大研〔</w:t>
      </w:r>
      <w:r>
        <w:rPr>
          <w:rFonts w:ascii="仿宋" w:hAnsi="仿宋" w:eastAsia="仿宋" w:cs="仿宋"/>
          <w:color w:val="000000"/>
          <w:kern w:val="0"/>
          <w:sz w:val="28"/>
          <w:szCs w:val="28"/>
        </w:rPr>
        <w:t>2021</w:t>
      </w:r>
      <w:r>
        <w:rPr>
          <w:rFonts w:hint="eastAsia" w:ascii="仿宋" w:hAnsi="仿宋" w:eastAsia="仿宋" w:cs="仿宋"/>
          <w:color w:val="000000"/>
          <w:kern w:val="0"/>
          <w:sz w:val="28"/>
          <w:szCs w:val="28"/>
        </w:rPr>
        <w:t>〕</w:t>
      </w:r>
      <w:r>
        <w:rPr>
          <w:rFonts w:ascii="仿宋" w:hAnsi="仿宋" w:eastAsia="仿宋" w:cs="仿宋"/>
          <w:color w:val="000000"/>
          <w:kern w:val="0"/>
          <w:sz w:val="28"/>
          <w:szCs w:val="28"/>
        </w:rPr>
        <w:t xml:space="preserve">44 </w:t>
      </w:r>
      <w:r>
        <w:rPr>
          <w:rFonts w:hint="eastAsia" w:ascii="仿宋" w:hAnsi="仿宋" w:eastAsia="仿宋" w:cs="仿宋"/>
          <w:color w:val="000000"/>
          <w:kern w:val="0"/>
          <w:sz w:val="28"/>
          <w:szCs w:val="28"/>
        </w:rPr>
        <w:t>号）的相关规定。</w:t>
      </w:r>
    </w:p>
    <w:p w14:paraId="3CE046D5">
      <w:pPr>
        <w:numPr>
          <w:ilvl w:val="0"/>
          <w:numId w:val="1"/>
        </w:numPr>
        <w:snapToGrid w:val="0"/>
        <w:spacing w:line="480" w:lineRule="exact"/>
        <w:ind w:firstLine="560" w:firstLineChars="200"/>
        <w:rPr>
          <w:rFonts w:ascii="黑体" w:hAnsi="宋体" w:eastAsia="黑体" w:cs="黑体"/>
          <w:color w:val="000000"/>
          <w:kern w:val="0"/>
          <w:sz w:val="28"/>
          <w:szCs w:val="28"/>
        </w:rPr>
      </w:pPr>
      <w:r>
        <w:rPr>
          <w:rFonts w:hint="eastAsia" w:ascii="黑体" w:hAnsi="宋体" w:eastAsia="黑体" w:cs="黑体"/>
          <w:color w:val="000000"/>
          <w:kern w:val="0"/>
          <w:sz w:val="28"/>
          <w:szCs w:val="28"/>
        </w:rPr>
        <w:t>在研究生学位论文中规范使用</w:t>
      </w:r>
      <w:r>
        <w:rPr>
          <w:rFonts w:ascii="Times New Roman" w:hAnsi="Times New Roman" w:eastAsia="黑体"/>
          <w:color w:val="000000"/>
          <w:kern w:val="0"/>
          <w:sz w:val="28"/>
          <w:szCs w:val="28"/>
        </w:rPr>
        <w:t>AIGC</w:t>
      </w:r>
      <w:r>
        <w:rPr>
          <w:rFonts w:hint="eastAsia" w:ascii="黑体" w:hAnsi="宋体" w:eastAsia="黑体" w:cs="黑体"/>
          <w:color w:val="000000"/>
          <w:kern w:val="0"/>
          <w:sz w:val="28"/>
          <w:szCs w:val="28"/>
        </w:rPr>
        <w:t>的要求</w:t>
      </w:r>
    </w:p>
    <w:p w14:paraId="4236EA3A">
      <w:pPr>
        <w:pStyle w:val="4"/>
        <w:widowControl/>
        <w:autoSpaceDE w:val="0"/>
        <w:spacing w:beforeAutospacing="0" w:afterAutospacing="0" w:line="480" w:lineRule="exact"/>
        <w:ind w:firstLine="463"/>
        <w:rPr>
          <w:sz w:val="28"/>
          <w:szCs w:val="28"/>
        </w:rPr>
      </w:pPr>
      <w:r>
        <w:rPr>
          <w:rFonts w:hint="eastAsia" w:ascii="仿宋" w:hAnsi="仿宋" w:eastAsia="仿宋" w:cs="仿宋"/>
          <w:sz w:val="28"/>
          <w:szCs w:val="28"/>
        </w:rPr>
        <w:t>为规范人工智能（</w:t>
      </w:r>
      <w:r>
        <w:rPr>
          <w:rFonts w:ascii="Times New Roman" w:hAnsi="Times New Roman"/>
          <w:sz w:val="28"/>
          <w:szCs w:val="28"/>
        </w:rPr>
        <w:t>AI</w:t>
      </w:r>
      <w:r>
        <w:rPr>
          <w:rFonts w:hint="eastAsia" w:ascii="仿宋" w:hAnsi="仿宋" w:eastAsia="仿宋" w:cs="仿宋"/>
          <w:sz w:val="28"/>
          <w:szCs w:val="28"/>
        </w:rPr>
        <w:t>）工具在学位论文中的使用，维护学术诚信，防范学术不端，切实提高学位论文质量，现对我校研究生毕业答辩前学位论文质量要求通知如下。</w:t>
      </w:r>
    </w:p>
    <w:p w14:paraId="2EA1703B">
      <w:pPr>
        <w:pStyle w:val="4"/>
        <w:widowControl/>
        <w:autoSpaceDE w:val="0"/>
        <w:spacing w:beforeAutospacing="0" w:afterAutospacing="0" w:line="480" w:lineRule="exact"/>
        <w:ind w:firstLine="538"/>
        <w:rPr>
          <w:rFonts w:ascii="仿宋" w:hAnsi="仿宋" w:eastAsia="仿宋" w:cs="仿宋"/>
          <w:sz w:val="28"/>
          <w:szCs w:val="28"/>
        </w:rPr>
      </w:pPr>
      <w:r>
        <w:rPr>
          <w:rFonts w:hint="eastAsia" w:ascii="仿宋" w:hAnsi="仿宋" w:eastAsia="仿宋" w:cs="仿宋"/>
          <w:color w:val="000000"/>
          <w:sz w:val="28"/>
          <w:szCs w:val="28"/>
        </w:rPr>
        <w:t>（一）</w:t>
      </w:r>
      <w:r>
        <w:rPr>
          <w:rFonts w:hint="eastAsia" w:ascii="仿宋" w:hAnsi="仿宋" w:eastAsia="仿宋" w:cs="仿宋"/>
          <w:sz w:val="28"/>
          <w:szCs w:val="28"/>
        </w:rPr>
        <w:t>基本要求</w:t>
      </w:r>
    </w:p>
    <w:p w14:paraId="3590DEAB">
      <w:pPr>
        <w:pStyle w:val="4"/>
        <w:widowControl/>
        <w:autoSpaceDE w:val="0"/>
        <w:spacing w:beforeAutospacing="0" w:afterAutospacing="0" w:line="480" w:lineRule="exact"/>
        <w:ind w:firstLine="463"/>
        <w:rPr>
          <w:sz w:val="28"/>
          <w:szCs w:val="28"/>
        </w:rPr>
      </w:pPr>
      <w:r>
        <w:rPr>
          <w:rFonts w:hint="eastAsia" w:ascii="仿宋" w:hAnsi="仿宋" w:eastAsia="仿宋" w:cs="仿宋"/>
          <w:sz w:val="28"/>
          <w:szCs w:val="28"/>
        </w:rPr>
        <w:t>使用人工智能（</w:t>
      </w:r>
      <w:r>
        <w:rPr>
          <w:rFonts w:ascii="Times New Roman" w:hAnsi="Times New Roman"/>
          <w:sz w:val="28"/>
          <w:szCs w:val="28"/>
        </w:rPr>
        <w:t>AI</w:t>
      </w:r>
      <w:r>
        <w:rPr>
          <w:rFonts w:hint="eastAsia" w:ascii="仿宋" w:hAnsi="仿宋" w:eastAsia="仿宋" w:cs="仿宋"/>
          <w:sz w:val="28"/>
          <w:szCs w:val="28"/>
        </w:rPr>
        <w:t>）工具须遵守国家规定的学术道德规范。研究生须对</w:t>
      </w:r>
      <w:r>
        <w:rPr>
          <w:rFonts w:ascii="Times New Roman" w:hAnsi="Times New Roman"/>
          <w:sz w:val="28"/>
          <w:szCs w:val="28"/>
        </w:rPr>
        <w:t>AI</w:t>
      </w:r>
      <w:r>
        <w:rPr>
          <w:rFonts w:hint="eastAsia" w:ascii="仿宋" w:hAnsi="仿宋" w:eastAsia="仿宋" w:cs="仿宋"/>
          <w:sz w:val="28"/>
          <w:szCs w:val="28"/>
        </w:rPr>
        <w:t>生成的内容进行自查，对可能存在错误、有争议的内容进行人工修正或说明，包括但不限于准确性、知识产权、数据隐私等。研究生和导师应对提交的学位论文全部内容负责。</w:t>
      </w:r>
    </w:p>
    <w:p w14:paraId="73D48791">
      <w:pPr>
        <w:pStyle w:val="4"/>
        <w:widowControl/>
        <w:autoSpaceDE w:val="0"/>
        <w:spacing w:beforeAutospacing="0" w:afterAutospacing="0" w:line="480" w:lineRule="exact"/>
        <w:ind w:firstLine="538"/>
        <w:rPr>
          <w:rFonts w:ascii="仿宋" w:hAnsi="仿宋" w:eastAsia="仿宋" w:cs="仿宋"/>
          <w:sz w:val="28"/>
          <w:szCs w:val="28"/>
        </w:rPr>
      </w:pPr>
      <w:r>
        <w:rPr>
          <w:rFonts w:hint="eastAsia" w:ascii="仿宋" w:hAnsi="仿宋" w:eastAsia="仿宋" w:cs="仿宋"/>
          <w:color w:val="000000"/>
          <w:sz w:val="28"/>
          <w:szCs w:val="28"/>
        </w:rPr>
        <w:t>（二）</w:t>
      </w:r>
      <w:r>
        <w:rPr>
          <w:rFonts w:hint="eastAsia" w:ascii="仿宋" w:hAnsi="仿宋" w:eastAsia="仿宋" w:cs="仿宋"/>
          <w:sz w:val="28"/>
          <w:szCs w:val="28"/>
        </w:rPr>
        <w:t>允许使用范围</w:t>
      </w:r>
    </w:p>
    <w:p w14:paraId="5ABE2383">
      <w:pPr>
        <w:pStyle w:val="4"/>
        <w:widowControl/>
        <w:autoSpaceDE w:val="0"/>
        <w:spacing w:beforeAutospacing="0" w:afterAutospacing="0" w:line="480" w:lineRule="exact"/>
        <w:ind w:firstLine="463"/>
        <w:rPr>
          <w:sz w:val="28"/>
          <w:szCs w:val="28"/>
        </w:rPr>
      </w:pPr>
      <w:r>
        <w:rPr>
          <w:rFonts w:ascii="Times New Roman" w:hAnsi="Times New Roman"/>
          <w:sz w:val="28"/>
          <w:szCs w:val="28"/>
        </w:rPr>
        <w:t>AI</w:t>
      </w:r>
      <w:r>
        <w:rPr>
          <w:rFonts w:hint="eastAsia" w:ascii="仿宋" w:hAnsi="仿宋" w:eastAsia="仿宋" w:cs="仿宋"/>
          <w:sz w:val="28"/>
          <w:szCs w:val="28"/>
        </w:rPr>
        <w:t>工具的使用要坚持人工主导、</w:t>
      </w:r>
      <w:r>
        <w:rPr>
          <w:rFonts w:ascii="Times New Roman" w:hAnsi="Times New Roman"/>
          <w:sz w:val="28"/>
          <w:szCs w:val="28"/>
        </w:rPr>
        <w:t>AI</w:t>
      </w:r>
      <w:r>
        <w:rPr>
          <w:rFonts w:hint="eastAsia" w:ascii="仿宋" w:hAnsi="仿宋" w:eastAsia="仿宋" w:cs="仿宋"/>
          <w:sz w:val="28"/>
          <w:szCs w:val="28"/>
        </w:rPr>
        <w:t>辅助的原则，可在以下范围内使用</w:t>
      </w:r>
      <w:r>
        <w:rPr>
          <w:rFonts w:ascii="Times New Roman" w:hAnsi="Times New Roman"/>
          <w:sz w:val="28"/>
          <w:szCs w:val="28"/>
        </w:rPr>
        <w:t>AI</w:t>
      </w:r>
      <w:r>
        <w:rPr>
          <w:rFonts w:hint="eastAsia" w:ascii="仿宋" w:hAnsi="仿宋" w:eastAsia="仿宋" w:cs="仿宋"/>
          <w:sz w:val="28"/>
          <w:szCs w:val="28"/>
        </w:rPr>
        <w:t>工具。</w:t>
      </w:r>
    </w:p>
    <w:p w14:paraId="2E7818A2">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1. </w:t>
      </w:r>
      <w:r>
        <w:rPr>
          <w:rFonts w:hint="eastAsia" w:ascii="仿宋" w:hAnsi="仿宋" w:eastAsia="仿宋" w:cs="仿宋"/>
          <w:sz w:val="28"/>
          <w:szCs w:val="28"/>
        </w:rPr>
        <w:t>文献检索与整理：允许使用</w:t>
      </w:r>
      <w:r>
        <w:rPr>
          <w:rFonts w:ascii="Times New Roman" w:hAnsi="Times New Roman"/>
          <w:sz w:val="28"/>
          <w:szCs w:val="28"/>
        </w:rPr>
        <w:t>AI</w:t>
      </w:r>
      <w:r>
        <w:rPr>
          <w:rFonts w:hint="eastAsia" w:ascii="仿宋" w:hAnsi="仿宋" w:eastAsia="仿宋" w:cs="仿宋"/>
          <w:sz w:val="28"/>
          <w:szCs w:val="28"/>
        </w:rPr>
        <w:t>工具进行文献检索、关键词推荐和文献管理，但须确保所引用的文献的真实性和可靠性。</w:t>
      </w:r>
    </w:p>
    <w:p w14:paraId="66EB0C79">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2. </w:t>
      </w:r>
      <w:r>
        <w:rPr>
          <w:rFonts w:hint="eastAsia" w:ascii="仿宋" w:hAnsi="仿宋" w:eastAsia="仿宋" w:cs="仿宋"/>
          <w:sz w:val="28"/>
          <w:szCs w:val="28"/>
        </w:rPr>
        <w:t>二次创作图表类型推荐与辅助制图：允许使用</w:t>
      </w:r>
      <w:r>
        <w:rPr>
          <w:rFonts w:ascii="Times New Roman" w:hAnsi="Times New Roman"/>
          <w:sz w:val="28"/>
          <w:szCs w:val="28"/>
        </w:rPr>
        <w:t>AI</w:t>
      </w:r>
      <w:r>
        <w:rPr>
          <w:rFonts w:hint="eastAsia" w:ascii="仿宋" w:hAnsi="仿宋" w:eastAsia="仿宋" w:cs="仿宋"/>
          <w:sz w:val="28"/>
          <w:szCs w:val="28"/>
        </w:rPr>
        <w:t>工具推荐统计图表类型和辅助制图，但不得用于生成或修改原始研究数据及关键的研究图表，应确保最终图表的原创性。</w:t>
      </w:r>
    </w:p>
    <w:p w14:paraId="65FB9C0A">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3. </w:t>
      </w:r>
      <w:r>
        <w:rPr>
          <w:rFonts w:hint="eastAsia" w:ascii="仿宋" w:hAnsi="仿宋" w:eastAsia="仿宋" w:cs="仿宋"/>
          <w:sz w:val="28"/>
          <w:szCs w:val="28"/>
        </w:rPr>
        <w:t>非创新性方法的</w:t>
      </w:r>
      <w:r>
        <w:rPr>
          <w:rFonts w:ascii="Times New Roman" w:hAnsi="Times New Roman"/>
          <w:sz w:val="28"/>
          <w:szCs w:val="28"/>
        </w:rPr>
        <w:t>AI</w:t>
      </w:r>
      <w:r>
        <w:rPr>
          <w:rFonts w:hint="eastAsia" w:ascii="仿宋" w:hAnsi="仿宋" w:eastAsia="仿宋" w:cs="仿宋"/>
          <w:sz w:val="28"/>
          <w:szCs w:val="28"/>
        </w:rPr>
        <w:t>工具辅助：研究方法不属于论文创新内容时，允许使用</w:t>
      </w:r>
      <w:r>
        <w:rPr>
          <w:rFonts w:ascii="Times New Roman" w:hAnsi="Times New Roman"/>
          <w:sz w:val="28"/>
          <w:szCs w:val="28"/>
        </w:rPr>
        <w:t>AI</w:t>
      </w:r>
      <w:r>
        <w:rPr>
          <w:rFonts w:hint="eastAsia" w:ascii="仿宋" w:hAnsi="仿宋" w:eastAsia="仿宋" w:cs="仿宋"/>
          <w:sz w:val="28"/>
          <w:szCs w:val="28"/>
        </w:rPr>
        <w:t>工具辅助程序代码编写、调试和错误排查，允许使用</w:t>
      </w:r>
      <w:r>
        <w:rPr>
          <w:rFonts w:ascii="Times New Roman" w:hAnsi="Times New Roman"/>
          <w:sz w:val="28"/>
          <w:szCs w:val="28"/>
        </w:rPr>
        <w:t>AI</w:t>
      </w:r>
      <w:r>
        <w:rPr>
          <w:rFonts w:hint="eastAsia" w:ascii="仿宋" w:hAnsi="仿宋" w:eastAsia="仿宋" w:cs="仿宋"/>
          <w:sz w:val="28"/>
          <w:szCs w:val="28"/>
        </w:rPr>
        <w:t>工具辅助统计学方法、实验方法、调研方法等研究方法的筛选与推荐，但要确保最终代码或研究方法的逻辑性、准确性、科学性和可维护性，所有代码或研究方法须经过作者审核和测试。</w:t>
      </w:r>
    </w:p>
    <w:p w14:paraId="2F2EC266">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4. </w:t>
      </w:r>
      <w:r>
        <w:rPr>
          <w:rFonts w:hint="eastAsia" w:ascii="仿宋" w:hAnsi="仿宋" w:eastAsia="仿宋" w:cs="仿宋"/>
          <w:sz w:val="28"/>
          <w:szCs w:val="28"/>
        </w:rPr>
        <w:t>参考文献格式整理：允许使</w:t>
      </w:r>
      <w:r>
        <w:rPr>
          <w:rFonts w:ascii="Times New Roman" w:hAnsi="Times New Roman"/>
          <w:sz w:val="28"/>
          <w:szCs w:val="28"/>
        </w:rPr>
        <w:t>AI</w:t>
      </w:r>
      <w:r>
        <w:rPr>
          <w:rFonts w:hint="eastAsia" w:ascii="仿宋" w:hAnsi="仿宋" w:eastAsia="仿宋" w:cs="仿宋"/>
          <w:sz w:val="28"/>
          <w:szCs w:val="28"/>
        </w:rPr>
        <w:t>工具进行参考文献格式的规范化检査和自动排序，但须对生成的内容进行核查。</w:t>
      </w:r>
    </w:p>
    <w:p w14:paraId="7828C0AB">
      <w:pPr>
        <w:pStyle w:val="4"/>
        <w:widowControl/>
        <w:autoSpaceDE w:val="0"/>
        <w:spacing w:beforeAutospacing="0" w:afterAutospacing="0" w:line="480" w:lineRule="exact"/>
        <w:ind w:firstLine="538"/>
        <w:rPr>
          <w:sz w:val="28"/>
          <w:szCs w:val="28"/>
        </w:rPr>
      </w:pPr>
      <w:r>
        <w:rPr>
          <w:rFonts w:hint="eastAsia" w:ascii="仿宋" w:hAnsi="仿宋" w:eastAsia="仿宋" w:cs="仿宋"/>
          <w:color w:val="000000"/>
          <w:sz w:val="28"/>
          <w:szCs w:val="28"/>
        </w:rPr>
        <w:t>（三）</w:t>
      </w:r>
      <w:r>
        <w:rPr>
          <w:rFonts w:hint="eastAsia" w:ascii="仿宋" w:hAnsi="仿宋" w:eastAsia="仿宋" w:cs="仿宋"/>
          <w:sz w:val="28"/>
          <w:szCs w:val="28"/>
        </w:rPr>
        <w:t>禁止使用范围</w:t>
      </w:r>
    </w:p>
    <w:p w14:paraId="51561842">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1. </w:t>
      </w:r>
      <w:r>
        <w:rPr>
          <w:rFonts w:hint="eastAsia" w:ascii="仿宋" w:hAnsi="仿宋" w:eastAsia="仿宋" w:cs="仿宋"/>
          <w:sz w:val="28"/>
          <w:szCs w:val="28"/>
        </w:rPr>
        <w:t>论文核心内容创作：严禁使用</w:t>
      </w:r>
      <w:r>
        <w:rPr>
          <w:rFonts w:ascii="Times New Roman" w:hAnsi="Times New Roman"/>
          <w:sz w:val="28"/>
          <w:szCs w:val="28"/>
        </w:rPr>
        <w:t>AI</w:t>
      </w:r>
      <w:r>
        <w:rPr>
          <w:rFonts w:hint="eastAsia" w:ascii="仿宋" w:hAnsi="仿宋" w:eastAsia="仿宋" w:cs="仿宋"/>
          <w:sz w:val="28"/>
          <w:szCs w:val="28"/>
        </w:rPr>
        <w:t>工具生成论文的核心观点、研究方法、研究结论等关键部分。</w:t>
      </w:r>
    </w:p>
    <w:p w14:paraId="7778AE3E">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2. </w:t>
      </w:r>
      <w:r>
        <w:rPr>
          <w:rFonts w:hint="eastAsia" w:ascii="仿宋" w:hAnsi="仿宋" w:eastAsia="仿宋" w:cs="仿宋"/>
          <w:sz w:val="28"/>
          <w:szCs w:val="28"/>
        </w:rPr>
        <w:t>学术思考与论证：不允许利用</w:t>
      </w:r>
      <w:r>
        <w:rPr>
          <w:rFonts w:ascii="Times New Roman" w:hAnsi="Times New Roman"/>
          <w:sz w:val="28"/>
          <w:szCs w:val="28"/>
        </w:rPr>
        <w:t>AI</w:t>
      </w:r>
      <w:r>
        <w:rPr>
          <w:rFonts w:hint="eastAsia" w:ascii="仿宋" w:hAnsi="仿宋" w:eastAsia="仿宋" w:cs="仿宋"/>
          <w:sz w:val="28"/>
          <w:szCs w:val="28"/>
        </w:rPr>
        <w:t>工具代替本人进行学术问题的思考、逻辑推理和论证过程。如在论述研究的合理性和必要性时，不能依赖</w:t>
      </w:r>
      <w:r>
        <w:rPr>
          <w:rFonts w:ascii="Times New Roman" w:hAnsi="Times New Roman"/>
          <w:sz w:val="28"/>
          <w:szCs w:val="28"/>
        </w:rPr>
        <w:t>AI</w:t>
      </w:r>
      <w:r>
        <w:rPr>
          <w:rFonts w:hint="eastAsia" w:ascii="仿宋" w:hAnsi="仿宋" w:eastAsia="仿宋" w:cs="仿宋"/>
          <w:sz w:val="28"/>
          <w:szCs w:val="28"/>
        </w:rPr>
        <w:t>生成未经本人深入思考的论述内容。</w:t>
      </w:r>
    </w:p>
    <w:p w14:paraId="26C0B0FF">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3. </w:t>
      </w:r>
      <w:r>
        <w:rPr>
          <w:rFonts w:hint="eastAsia" w:ascii="仿宋" w:hAnsi="仿宋" w:eastAsia="仿宋" w:cs="仿宋"/>
          <w:sz w:val="28"/>
          <w:szCs w:val="28"/>
        </w:rPr>
        <w:t>复制</w:t>
      </w:r>
      <w:r>
        <w:rPr>
          <w:rFonts w:ascii="Times New Roman" w:hAnsi="Times New Roman"/>
          <w:sz w:val="28"/>
          <w:szCs w:val="28"/>
        </w:rPr>
        <w:t>AI</w:t>
      </w:r>
      <w:r>
        <w:rPr>
          <w:rFonts w:hint="eastAsia" w:ascii="仿宋" w:hAnsi="仿宋" w:eastAsia="仿宋" w:cs="仿宋"/>
          <w:sz w:val="28"/>
          <w:szCs w:val="28"/>
        </w:rPr>
        <w:t>生成的内容：严禁将</w:t>
      </w:r>
      <w:r>
        <w:rPr>
          <w:rFonts w:ascii="Times New Roman" w:hAnsi="Times New Roman"/>
          <w:sz w:val="28"/>
          <w:szCs w:val="28"/>
        </w:rPr>
        <w:t>AI</w:t>
      </w:r>
      <w:r>
        <w:rPr>
          <w:rFonts w:hint="eastAsia" w:ascii="仿宋" w:hAnsi="仿宋" w:eastAsia="仿宋" w:cs="仿宋"/>
          <w:sz w:val="28"/>
          <w:szCs w:val="28"/>
        </w:rPr>
        <w:t>生成的完整段落或篇章直接复制粘贴到论文中，即使对其进行少量文字修改也属于学术不端行为。避免过度依赖</w:t>
      </w:r>
      <w:r>
        <w:rPr>
          <w:rFonts w:ascii="Times New Roman" w:hAnsi="Times New Roman"/>
          <w:sz w:val="28"/>
          <w:szCs w:val="28"/>
        </w:rPr>
        <w:t>AI</w:t>
      </w:r>
      <w:r>
        <w:rPr>
          <w:rFonts w:hint="eastAsia" w:ascii="仿宋" w:hAnsi="仿宋" w:eastAsia="仿宋" w:cs="仿宋"/>
          <w:sz w:val="28"/>
          <w:szCs w:val="28"/>
        </w:rPr>
        <w:t>生成内容导致论文缺乏个人见解和学术价值，使学位论文沦为</w:t>
      </w:r>
      <w:r>
        <w:rPr>
          <w:rFonts w:ascii="Times New Roman" w:hAnsi="Times New Roman"/>
          <w:sz w:val="28"/>
          <w:szCs w:val="28"/>
        </w:rPr>
        <w:t>AI</w:t>
      </w:r>
      <w:r>
        <w:rPr>
          <w:rFonts w:hint="eastAsia" w:ascii="仿宋" w:hAnsi="仿宋" w:eastAsia="仿宋" w:cs="仿宋"/>
          <w:sz w:val="28"/>
          <w:szCs w:val="28"/>
        </w:rPr>
        <w:t>拼凑的产物。</w:t>
      </w:r>
    </w:p>
    <w:p w14:paraId="17DB4C69">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4. </w:t>
      </w:r>
      <w:r>
        <w:rPr>
          <w:rFonts w:hint="eastAsia" w:ascii="仿宋" w:hAnsi="仿宋" w:eastAsia="仿宋" w:cs="仿宋"/>
          <w:sz w:val="28"/>
          <w:szCs w:val="28"/>
        </w:rPr>
        <w:t>研究设计与数据分析：禁止使用</w:t>
      </w:r>
      <w:r>
        <w:rPr>
          <w:rFonts w:ascii="Times New Roman" w:hAnsi="Times New Roman"/>
          <w:sz w:val="28"/>
          <w:szCs w:val="28"/>
        </w:rPr>
        <w:t>AI</w:t>
      </w:r>
      <w:r>
        <w:rPr>
          <w:rFonts w:hint="eastAsia" w:ascii="仿宋" w:hAnsi="仿宋" w:eastAsia="仿宋" w:cs="仿宋"/>
          <w:sz w:val="28"/>
          <w:szCs w:val="28"/>
        </w:rPr>
        <w:t>工具进行研究方案设计、创新性方法设计、算法（模型）框架搭建、论文结构设计、研究设计选题、研究（设计）意义及创新性总结、研究假设提出、数据分析、结果分析与讨论、研究结论等。</w:t>
      </w:r>
    </w:p>
    <w:p w14:paraId="6A45D1B2">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5. </w:t>
      </w:r>
      <w:r>
        <w:rPr>
          <w:rFonts w:hint="eastAsia" w:ascii="仿宋" w:hAnsi="仿宋" w:eastAsia="仿宋" w:cs="仿宋"/>
          <w:sz w:val="28"/>
          <w:szCs w:val="28"/>
        </w:rPr>
        <w:t>原始数据收集：禁止使用</w:t>
      </w:r>
      <w:r>
        <w:rPr>
          <w:rFonts w:ascii="Times New Roman" w:hAnsi="Times New Roman"/>
          <w:sz w:val="28"/>
          <w:szCs w:val="28"/>
        </w:rPr>
        <w:t>AI</w:t>
      </w:r>
      <w:r>
        <w:rPr>
          <w:rFonts w:hint="eastAsia" w:ascii="仿宋" w:hAnsi="仿宋" w:eastAsia="仿宋" w:cs="仿宋"/>
          <w:sz w:val="28"/>
          <w:szCs w:val="28"/>
        </w:rPr>
        <w:t>工具生成或改动论文中的原始数据，如实验数据、统计数据、调査数据等。除非</w:t>
      </w:r>
      <w:r>
        <w:rPr>
          <w:rFonts w:ascii="Times New Roman" w:hAnsi="Times New Roman"/>
          <w:sz w:val="28"/>
          <w:szCs w:val="28"/>
        </w:rPr>
        <w:t>AI</w:t>
      </w:r>
      <w:r>
        <w:rPr>
          <w:rFonts w:hint="eastAsia" w:ascii="仿宋" w:hAnsi="仿宋" w:eastAsia="仿宋" w:cs="仿宋"/>
          <w:sz w:val="28"/>
          <w:szCs w:val="28"/>
        </w:rPr>
        <w:t>技术本身就是研究（设计）的主题，其原始数据必须由</w:t>
      </w:r>
      <w:r>
        <w:rPr>
          <w:rFonts w:ascii="Times New Roman" w:hAnsi="Times New Roman"/>
          <w:sz w:val="28"/>
          <w:szCs w:val="28"/>
        </w:rPr>
        <w:t>AI</w:t>
      </w:r>
      <w:r>
        <w:rPr>
          <w:rFonts w:hint="eastAsia" w:ascii="仿宋" w:hAnsi="仿宋" w:eastAsia="仿宋" w:cs="仿宋"/>
          <w:sz w:val="28"/>
          <w:szCs w:val="28"/>
        </w:rPr>
        <w:t>算法生成。</w:t>
      </w:r>
    </w:p>
    <w:p w14:paraId="59734732">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6. </w:t>
      </w:r>
      <w:r>
        <w:rPr>
          <w:rFonts w:hint="eastAsia" w:ascii="仿宋" w:hAnsi="仿宋" w:eastAsia="仿宋" w:cs="仿宋"/>
          <w:sz w:val="28"/>
          <w:szCs w:val="28"/>
        </w:rPr>
        <w:t>结果图片与重要插图创作：禁止使用</w:t>
      </w:r>
      <w:r>
        <w:rPr>
          <w:rFonts w:ascii="Times New Roman" w:hAnsi="Times New Roman"/>
          <w:sz w:val="28"/>
          <w:szCs w:val="28"/>
        </w:rPr>
        <w:t>AI</w:t>
      </w:r>
      <w:r>
        <w:rPr>
          <w:rFonts w:hint="eastAsia" w:ascii="仿宋" w:hAnsi="仿宋" w:eastAsia="仿宋" w:cs="仿宋"/>
          <w:sz w:val="28"/>
          <w:szCs w:val="28"/>
        </w:rPr>
        <w:t>工具生成或改动论文中的原创性或实验性的结果图片、图像和插图，除非是在确保方法可复现的情况下</w:t>
      </w:r>
      <w:r>
        <w:rPr>
          <w:rFonts w:ascii="Times New Roman" w:hAnsi="Times New Roman"/>
          <w:sz w:val="28"/>
          <w:szCs w:val="28"/>
        </w:rPr>
        <w:t>AI</w:t>
      </w:r>
      <w:r>
        <w:rPr>
          <w:rFonts w:hint="eastAsia" w:ascii="仿宋" w:hAnsi="仿宋" w:eastAsia="仿宋" w:cs="仿宋"/>
          <w:sz w:val="28"/>
          <w:szCs w:val="28"/>
        </w:rPr>
        <w:t>技术本身就是研究设计的一部分，并须在正文的方法中加以说明。</w:t>
      </w:r>
    </w:p>
    <w:p w14:paraId="20803391">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7. </w:t>
      </w:r>
      <w:r>
        <w:rPr>
          <w:rFonts w:hint="eastAsia" w:ascii="仿宋" w:hAnsi="仿宋" w:eastAsia="仿宋" w:cs="仿宋"/>
          <w:sz w:val="28"/>
          <w:szCs w:val="28"/>
        </w:rPr>
        <w:t>论文撰写：禁止直接使用</w:t>
      </w:r>
      <w:r>
        <w:rPr>
          <w:rFonts w:ascii="Times New Roman" w:hAnsi="Times New Roman"/>
          <w:sz w:val="28"/>
          <w:szCs w:val="28"/>
        </w:rPr>
        <w:t>AI</w:t>
      </w:r>
      <w:r>
        <w:rPr>
          <w:rFonts w:hint="eastAsia" w:ascii="仿宋" w:hAnsi="仿宋" w:eastAsia="仿宋" w:cs="仿宋"/>
          <w:sz w:val="28"/>
          <w:szCs w:val="28"/>
        </w:rPr>
        <w:t>工具生成论文的正文文本、致谢或其他组成部分，</w:t>
      </w:r>
      <w:r>
        <w:rPr>
          <w:rFonts w:ascii="Times New Roman" w:hAnsi="Times New Roman"/>
          <w:sz w:val="28"/>
          <w:szCs w:val="28"/>
        </w:rPr>
        <w:t>AI</w:t>
      </w:r>
      <w:r>
        <w:rPr>
          <w:rFonts w:hint="eastAsia" w:ascii="仿宋" w:hAnsi="仿宋" w:eastAsia="仿宋" w:cs="仿宋"/>
          <w:sz w:val="28"/>
          <w:szCs w:val="28"/>
        </w:rPr>
        <w:t>工具可以在学习如何撰写论文阶段中辅助写作，但不能代替作者的最终独立创作。语言表达能力仍然是论文考察的重点，禁止使用</w:t>
      </w:r>
      <w:r>
        <w:rPr>
          <w:rFonts w:ascii="Times New Roman" w:hAnsi="Times New Roman"/>
          <w:sz w:val="28"/>
          <w:szCs w:val="28"/>
        </w:rPr>
        <w:t>AI</w:t>
      </w:r>
      <w:r>
        <w:rPr>
          <w:rFonts w:hint="eastAsia" w:ascii="仿宋" w:hAnsi="仿宋" w:eastAsia="仿宋" w:cs="仿宋"/>
          <w:sz w:val="28"/>
          <w:szCs w:val="28"/>
        </w:rPr>
        <w:t>工具进行语言润色和翻译。</w:t>
      </w:r>
    </w:p>
    <w:p w14:paraId="74686F9D">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8. </w:t>
      </w:r>
      <w:r>
        <w:rPr>
          <w:rFonts w:hint="eastAsia" w:ascii="仿宋" w:hAnsi="仿宋" w:eastAsia="仿宋" w:cs="仿宋"/>
          <w:sz w:val="28"/>
          <w:szCs w:val="28"/>
        </w:rPr>
        <w:t>答辩与检查：答辩或校内论文检查时，禁止答辩委员、评审专家使用任何</w:t>
      </w:r>
      <w:r>
        <w:rPr>
          <w:rFonts w:ascii="Times New Roman" w:hAnsi="Times New Roman"/>
          <w:sz w:val="28"/>
          <w:szCs w:val="28"/>
        </w:rPr>
        <w:t>AI</w:t>
      </w:r>
      <w:r>
        <w:rPr>
          <w:rFonts w:hint="eastAsia" w:ascii="仿宋" w:hAnsi="仿宋" w:eastAsia="仿宋" w:cs="仿宋"/>
          <w:sz w:val="28"/>
          <w:szCs w:val="28"/>
        </w:rPr>
        <w:t>工具对学生的论文进行评审，包括但不限于使用</w:t>
      </w:r>
      <w:r>
        <w:rPr>
          <w:rFonts w:ascii="Times New Roman" w:hAnsi="Times New Roman"/>
          <w:sz w:val="28"/>
          <w:szCs w:val="28"/>
        </w:rPr>
        <w:t>AI</w:t>
      </w:r>
      <w:r>
        <w:rPr>
          <w:rFonts w:hint="eastAsia" w:ascii="仿宋" w:hAnsi="仿宋" w:eastAsia="仿宋" w:cs="仿宋"/>
          <w:sz w:val="28"/>
          <w:szCs w:val="28"/>
        </w:rPr>
        <w:t>工具总结论文的核心内容，生成评审意见等。</w:t>
      </w:r>
    </w:p>
    <w:p w14:paraId="7FA8E7DF">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9. </w:t>
      </w:r>
      <w:r>
        <w:rPr>
          <w:rFonts w:hint="eastAsia" w:ascii="仿宋" w:hAnsi="仿宋" w:eastAsia="仿宋" w:cs="仿宋"/>
          <w:sz w:val="28"/>
          <w:szCs w:val="28"/>
        </w:rPr>
        <w:t>涉密内容：论文涉及保密内容的，禁止使用任何</w:t>
      </w:r>
      <w:r>
        <w:rPr>
          <w:rFonts w:ascii="Times New Roman" w:hAnsi="Times New Roman"/>
          <w:sz w:val="28"/>
          <w:szCs w:val="28"/>
        </w:rPr>
        <w:t>AI</w:t>
      </w:r>
      <w:r>
        <w:rPr>
          <w:rFonts w:hint="eastAsia" w:ascii="仿宋" w:hAnsi="仿宋" w:eastAsia="仿宋" w:cs="仿宋"/>
          <w:sz w:val="28"/>
          <w:szCs w:val="28"/>
        </w:rPr>
        <w:t>工具，禁止上传任何数据和图片到</w:t>
      </w:r>
      <w:r>
        <w:rPr>
          <w:rFonts w:ascii="Times New Roman" w:hAnsi="Times New Roman"/>
          <w:sz w:val="28"/>
          <w:szCs w:val="28"/>
        </w:rPr>
        <w:t>AI</w:t>
      </w:r>
      <w:r>
        <w:rPr>
          <w:rFonts w:hint="eastAsia" w:ascii="仿宋" w:hAnsi="仿宋" w:eastAsia="仿宋" w:cs="仿宋"/>
          <w:sz w:val="28"/>
          <w:szCs w:val="28"/>
        </w:rPr>
        <w:t>平台。</w:t>
      </w:r>
    </w:p>
    <w:p w14:paraId="09794828">
      <w:pPr>
        <w:pStyle w:val="4"/>
        <w:widowControl/>
        <w:autoSpaceDE w:val="0"/>
        <w:spacing w:beforeAutospacing="0" w:afterAutospacing="0" w:line="480" w:lineRule="exact"/>
        <w:ind w:firstLine="538"/>
        <w:rPr>
          <w:rFonts w:ascii="仿宋" w:hAnsi="仿宋" w:eastAsia="仿宋" w:cs="仿宋"/>
          <w:sz w:val="28"/>
          <w:szCs w:val="28"/>
        </w:rPr>
      </w:pPr>
      <w:r>
        <w:rPr>
          <w:rFonts w:hint="eastAsia" w:ascii="仿宋" w:hAnsi="仿宋" w:eastAsia="仿宋" w:cs="仿宋"/>
          <w:color w:val="000000"/>
          <w:sz w:val="28"/>
          <w:szCs w:val="28"/>
        </w:rPr>
        <w:t>（四）披露</w:t>
      </w:r>
      <w:r>
        <w:rPr>
          <w:rFonts w:hint="eastAsia" w:ascii="仿宋" w:hAnsi="仿宋" w:eastAsia="仿宋" w:cs="仿宋"/>
          <w:sz w:val="28"/>
          <w:szCs w:val="28"/>
        </w:rPr>
        <w:t>与声明</w:t>
      </w:r>
    </w:p>
    <w:p w14:paraId="49A32B86">
      <w:pPr>
        <w:pStyle w:val="4"/>
        <w:widowControl/>
        <w:autoSpaceDE w:val="0"/>
        <w:spacing w:beforeAutospacing="0" w:afterAutospacing="0" w:line="480" w:lineRule="exact"/>
        <w:ind w:firstLine="463"/>
        <w:rPr>
          <w:sz w:val="28"/>
          <w:szCs w:val="28"/>
        </w:rPr>
      </w:pPr>
      <w:r>
        <w:rPr>
          <w:rFonts w:hint="eastAsia" w:ascii="仿宋" w:hAnsi="仿宋" w:eastAsia="仿宋" w:cs="仿宋"/>
          <w:sz w:val="28"/>
          <w:szCs w:val="28"/>
        </w:rPr>
        <w:t>使用</w:t>
      </w:r>
      <w:r>
        <w:rPr>
          <w:rFonts w:ascii="Times New Roman" w:hAnsi="Times New Roman"/>
          <w:sz w:val="28"/>
          <w:szCs w:val="28"/>
        </w:rPr>
        <w:t>AI</w:t>
      </w:r>
      <w:r>
        <w:rPr>
          <w:rFonts w:hint="eastAsia" w:ascii="仿宋" w:hAnsi="仿宋" w:eastAsia="仿宋" w:cs="仿宋"/>
          <w:sz w:val="28"/>
          <w:szCs w:val="28"/>
        </w:rPr>
        <w:t>工具时，须在论文承诺书中明确披露以下信息。</w:t>
      </w:r>
    </w:p>
    <w:p w14:paraId="3828396D">
      <w:pPr>
        <w:pStyle w:val="4"/>
        <w:widowControl/>
        <w:autoSpaceDE w:val="0"/>
        <w:spacing w:beforeAutospacing="0" w:afterAutospacing="0" w:line="480" w:lineRule="exact"/>
        <w:ind w:firstLine="463"/>
        <w:rPr>
          <w:sz w:val="28"/>
          <w:szCs w:val="28"/>
        </w:rPr>
      </w:pPr>
      <w:r>
        <w:rPr>
          <w:rFonts w:ascii="Times New Roman" w:hAnsi="Times New Roman"/>
          <w:sz w:val="28"/>
          <w:szCs w:val="28"/>
        </w:rPr>
        <w:t>1. </w:t>
      </w:r>
      <w:r>
        <w:rPr>
          <w:rFonts w:hint="eastAsia" w:ascii="仿宋" w:hAnsi="仿宋" w:eastAsia="仿宋" w:cs="仿宋"/>
          <w:sz w:val="28"/>
          <w:szCs w:val="28"/>
        </w:rPr>
        <w:t>对</w:t>
      </w:r>
      <w:r>
        <w:rPr>
          <w:rFonts w:ascii="Times New Roman" w:hAnsi="Times New Roman"/>
          <w:sz w:val="28"/>
          <w:szCs w:val="28"/>
        </w:rPr>
        <w:t>AI</w:t>
      </w:r>
      <w:r>
        <w:rPr>
          <w:rFonts w:hint="eastAsia" w:ascii="仿宋" w:hAnsi="仿宋" w:eastAsia="仿宋" w:cs="仿宋"/>
          <w:sz w:val="28"/>
          <w:szCs w:val="28"/>
        </w:rPr>
        <w:t>直接生成内容的部分需进行标注，研究生的论文中直接生成的内容不能超过全文的</w:t>
      </w:r>
      <w:r>
        <w:rPr>
          <w:rFonts w:ascii="Times New Roman" w:hAnsi="Times New Roman"/>
          <w:sz w:val="28"/>
          <w:szCs w:val="28"/>
        </w:rPr>
        <w:t>20%</w:t>
      </w:r>
      <w:r>
        <w:rPr>
          <w:rFonts w:hint="eastAsia" w:ascii="仿宋" w:hAnsi="仿宋" w:eastAsia="仿宋" w:cs="仿宋"/>
          <w:sz w:val="28"/>
          <w:szCs w:val="28"/>
        </w:rPr>
        <w:t>。</w:t>
      </w:r>
    </w:p>
    <w:p w14:paraId="30AD0CB7">
      <w:pPr>
        <w:pStyle w:val="4"/>
        <w:widowControl/>
        <w:autoSpaceDE w:val="0"/>
        <w:spacing w:beforeAutospacing="0" w:afterAutospacing="0" w:line="480" w:lineRule="exact"/>
        <w:ind w:firstLine="463"/>
        <w:rPr>
          <w:sz w:val="28"/>
          <w:szCs w:val="28"/>
        </w:rPr>
      </w:pPr>
      <w:r>
        <w:rPr>
          <w:rFonts w:ascii="Times New Roman" w:hAnsi="Times New Roman"/>
          <w:sz w:val="28"/>
          <w:szCs w:val="28"/>
        </w:rPr>
        <w:t xml:space="preserve">2. </w:t>
      </w:r>
      <w:r>
        <w:rPr>
          <w:rFonts w:hint="eastAsia" w:ascii="仿宋" w:hAnsi="仿宋" w:eastAsia="仿宋" w:cs="仿宋"/>
          <w:sz w:val="28"/>
          <w:szCs w:val="28"/>
        </w:rPr>
        <w:t>在参考文献部分，需列出所使用的</w:t>
      </w:r>
      <w:r>
        <w:rPr>
          <w:rFonts w:ascii="Times New Roman" w:hAnsi="Times New Roman"/>
          <w:sz w:val="28"/>
          <w:szCs w:val="28"/>
        </w:rPr>
        <w:t>AI</w:t>
      </w:r>
      <w:r>
        <w:rPr>
          <w:rFonts w:hint="eastAsia" w:ascii="仿宋" w:hAnsi="仿宋" w:eastAsia="仿宋" w:cs="仿宋"/>
          <w:sz w:val="28"/>
          <w:szCs w:val="28"/>
        </w:rPr>
        <w:t>工具相关信息，包括工具名称、开发者、版本、使用日期等。</w:t>
      </w:r>
    </w:p>
    <w:p w14:paraId="34142FAF">
      <w:pPr>
        <w:pStyle w:val="4"/>
        <w:widowControl/>
        <w:autoSpaceDE w:val="0"/>
        <w:spacing w:beforeAutospacing="0" w:afterAutospacing="0" w:line="480" w:lineRule="exact"/>
        <w:ind w:firstLine="463"/>
        <w:rPr>
          <w:sz w:val="28"/>
          <w:szCs w:val="28"/>
        </w:rPr>
      </w:pPr>
      <w:r>
        <w:rPr>
          <w:rFonts w:ascii="Times New Roman" w:hAnsi="Times New Roman"/>
          <w:sz w:val="28"/>
          <w:szCs w:val="28"/>
        </w:rPr>
        <w:t>3. AI</w:t>
      </w:r>
      <w:r>
        <w:rPr>
          <w:rFonts w:hint="eastAsia" w:ascii="仿宋" w:hAnsi="仿宋" w:eastAsia="仿宋" w:cs="仿宋"/>
          <w:sz w:val="28"/>
          <w:szCs w:val="28"/>
        </w:rPr>
        <w:t>工具在论文中的具体使用，如研究方法部分或文献综述部分。</w:t>
      </w:r>
    </w:p>
    <w:p w14:paraId="69F7B8E1">
      <w:pPr>
        <w:pStyle w:val="4"/>
        <w:widowControl/>
        <w:autoSpaceDE w:val="0"/>
        <w:spacing w:beforeAutospacing="0" w:afterAutospacing="0" w:line="480" w:lineRule="exact"/>
        <w:ind w:firstLine="463"/>
        <w:rPr>
          <w:rFonts w:ascii="仿宋" w:hAnsi="仿宋" w:eastAsia="仿宋" w:cs="仿宋"/>
          <w:color w:val="000000"/>
          <w:sz w:val="28"/>
          <w:szCs w:val="28"/>
        </w:rPr>
      </w:pPr>
      <w:r>
        <w:rPr>
          <w:rFonts w:ascii="Times New Roman" w:hAnsi="Times New Roman"/>
          <w:sz w:val="28"/>
          <w:szCs w:val="28"/>
        </w:rPr>
        <w:t xml:space="preserve">4. </w:t>
      </w:r>
      <w:r>
        <w:rPr>
          <w:rFonts w:hint="eastAsia" w:ascii="仿宋" w:hAnsi="仿宋" w:eastAsia="仿宋" w:cs="仿宋"/>
          <w:sz w:val="28"/>
          <w:szCs w:val="28"/>
        </w:rPr>
        <w:t>须保留</w:t>
      </w:r>
      <w:r>
        <w:rPr>
          <w:rFonts w:ascii="Times New Roman" w:hAnsi="Times New Roman"/>
          <w:sz w:val="28"/>
          <w:szCs w:val="28"/>
        </w:rPr>
        <w:t>AI</w:t>
      </w:r>
      <w:r>
        <w:rPr>
          <w:rFonts w:hint="eastAsia" w:ascii="仿宋" w:hAnsi="仿宋" w:eastAsia="仿宋" w:cs="仿宋"/>
          <w:sz w:val="28"/>
          <w:szCs w:val="28"/>
        </w:rPr>
        <w:t>工具处理之前的相关重要材料，以备指导老师或评审专家对学生使用</w:t>
      </w:r>
      <w:r>
        <w:rPr>
          <w:rFonts w:ascii="Times New Roman" w:hAnsi="Times New Roman"/>
          <w:sz w:val="28"/>
          <w:szCs w:val="28"/>
        </w:rPr>
        <w:t>AI</w:t>
      </w:r>
      <w:r>
        <w:rPr>
          <w:rFonts w:hint="eastAsia" w:ascii="仿宋" w:hAnsi="仿宋" w:eastAsia="仿宋" w:cs="仿宋"/>
          <w:sz w:val="28"/>
          <w:szCs w:val="28"/>
        </w:rPr>
        <w:t>工具的检查和质询。</w:t>
      </w:r>
    </w:p>
    <w:p w14:paraId="25F2074F">
      <w:pPr>
        <w:snapToGrid w:val="0"/>
        <w:spacing w:line="480" w:lineRule="exact"/>
        <w:rPr>
          <w:rFonts w:ascii="黑体" w:hAnsi="宋体" w:eastAsia="黑体" w:cs="黑体"/>
          <w:color w:val="000000"/>
          <w:kern w:val="0"/>
          <w:sz w:val="28"/>
          <w:szCs w:val="28"/>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3D67E">
    <w:pPr>
      <w:pStyle w:val="2"/>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CC3448C">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DB4996"/>
    <w:multiLevelType w:val="singleLevel"/>
    <w:tmpl w:val="E7DB4996"/>
    <w:lvl w:ilvl="0" w:tentative="0">
      <w:start w:val="4"/>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30F16D1"/>
    <w:rsid w:val="001A453B"/>
    <w:rsid w:val="002116C6"/>
    <w:rsid w:val="00242DCE"/>
    <w:rsid w:val="002C0CB7"/>
    <w:rsid w:val="002F2EAC"/>
    <w:rsid w:val="003D54AF"/>
    <w:rsid w:val="003E0C78"/>
    <w:rsid w:val="004201C4"/>
    <w:rsid w:val="007B337B"/>
    <w:rsid w:val="00E3682B"/>
    <w:rsid w:val="030F16D1"/>
    <w:rsid w:val="058F39C4"/>
    <w:rsid w:val="134F67B1"/>
    <w:rsid w:val="170F03E6"/>
    <w:rsid w:val="21DD4AF9"/>
    <w:rsid w:val="56CD403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4</Pages>
  <Words>2150</Words>
  <Characters>2261</Characters>
  <Lines>0</Lines>
  <Paragraphs>0</Paragraphs>
  <TotalTime>10</TotalTime>
  <ScaleCrop>false</ScaleCrop>
  <LinksUpToDate>false</LinksUpToDate>
  <CharactersWithSpaces>2305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2026-04-27T08:15:00Z</dcterms:created>
  <dc:creator>り言川</dc:creator>
  <cp:lastModifiedBy>张原</cp:lastModifiedBy>
  <cp:lastPrinted>2026-04-29T09:48:00Z</cp:lastPrinted>
  <dcterms:modified xsi:type="dcterms:W3CDTF">2026-10-09T10:26:02Z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C499769B7546495698B19B6995E5B36A_11</vt:lpwstr>
  </property>
  <property fmtid="{D5CDD505-2E9C-101B-9397-08002B2CF9AE}" pid="4" name="KSOTemplateDocerSaveRecord">
    <vt:lpwstr>eyJoZGlkIjoiMDI3NTFjZTVhYTlmYmMyZjQ4MjVlMzMyYzU3MDZjNGMiLCJ1c2VySWQiOiIxNjE3OTg0MjY3In0=</vt:lpwstr>
  </property>
</Properties>
</file>